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jc w:val="center"/>
        <w:spacing w:line="480" w:lineRule="auto"/>
        <w:rPr>
          <w:rFonts w:hint="eastAsia" w:ascii="Arial" w:hAnsi="Arial"/>
          <w:b w:val="0"/>
          <w:bCs w:val="0"/>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val="0"/>
          <w:bCs w:val="0"/>
          <w:color w:val="000000"/>
          <w:sz w:val="32"/>
          <w:szCs w:val="24"/>
          <w:highlight w:val="none"/>
        </w:rPr>
        <w:t xml:space="preserve">重点部位无人机防御系统建设（专门面向中小企业）</w:t>
      </w:r>
      <w:r/>
    </w:p>
    <w:p>
      <w:pPr>
        <w:jc w:val="center"/>
        <w:spacing w:line="480" w:lineRule="auto"/>
        <w:rPr>
          <w:rFonts w:hint="eastAsia" w:ascii="黑体" w:hAnsi="Arial" w:eastAsia="宋体"/>
          <w:b w:val="0"/>
          <w:bCs w:val="0"/>
          <w:color w:val="000000"/>
          <w:sz w:val="44"/>
          <w:szCs w:val="21"/>
          <w:highlight w:val="none"/>
          <w:lang w:eastAsia="zh-CN"/>
        </w:rPr>
      </w:pPr>
      <w:r>
        <w:rPr>
          <w:rFonts w:hint="eastAsia" w:ascii="Arial" w:hAnsi="Arial"/>
          <w:b/>
          <w:bCs/>
          <w:sz w:val="32"/>
          <w:szCs w:val="24"/>
          <w:highlight w:val="none"/>
        </w:rPr>
        <w:t xml:space="preserve">项目编号：</w:t>
      </w:r>
      <w:r>
        <w:rPr>
          <w:rFonts w:hint="eastAsia" w:ascii="Arial" w:hAnsi="Arial"/>
          <w:b w:val="0"/>
          <w:bCs w:val="0"/>
          <w:sz w:val="32"/>
          <w:szCs w:val="24"/>
          <w:highlight w:val="none"/>
          <w:lang w:eastAsia="zh-CN"/>
        </w:rPr>
        <w:t xml:space="preserve">JSZC-320700-XHZX-G2025-0039</w:t>
      </w:r>
      <w:r/>
    </w:p>
    <w:p>
      <w:pP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665"/>
        <w:jc w:val="center"/>
        <w:spacing w:line="360" w:lineRule="auto"/>
        <w:rPr>
          <w:rFonts w:hint="eastAsia" w:eastAsia="宋体"/>
          <w:b/>
          <w:color w:val="000000"/>
          <w:sz w:val="32"/>
          <w:highlight w:val="none"/>
          <w:lang w:eastAsia="zh-CN"/>
        </w:rPr>
      </w:pPr>
      <w:r>
        <w:rPr>
          <w:rFonts w:hint="eastAsia" w:ascii="宋体" w:hAnsi="宋体"/>
          <w:b/>
          <w:bCs/>
          <w:sz w:val="32"/>
          <w:highlight w:val="none"/>
        </w:rPr>
        <w:t xml:space="preserve">采  购  人：</w:t>
      </w:r>
      <w:r>
        <w:rPr>
          <w:rFonts w:hint="eastAsia"/>
          <w:b/>
          <w:color w:val="000000"/>
          <w:sz w:val="32"/>
          <w:highlight w:val="none"/>
          <w:lang w:eastAsia="zh-CN"/>
        </w:rPr>
        <w:t xml:space="preserve">连云港市公安局</w:t>
      </w:r>
      <w:r/>
    </w:p>
    <w:p>
      <w:pPr>
        <w:jc w:val="center"/>
        <w:spacing w:before="120" w:after="120" w:line="360" w:lineRule="auto"/>
        <w:rPr>
          <w:rFonts w:ascii="Arial" w:hAnsi="Arial"/>
          <w:b/>
          <w:bCs/>
          <w:color w:val="000000"/>
          <w:sz w:val="32"/>
          <w:szCs w:val="24"/>
          <w:highlight w:val="none"/>
        </w:rPr>
      </w:pPr>
      <w:r>
        <w:rPr>
          <w:rFonts w:hint="eastAsia" w:ascii="宋体" w:hAnsi="宋体"/>
          <w:b/>
          <w:bCs/>
          <w:sz w:val="32"/>
          <w:highlight w:val="none"/>
        </w:rPr>
        <w:t xml:space="preserve">采购代理机构：江苏协鸿工程咨询有限公司</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2025年</w:t>
      </w:r>
      <w:r>
        <w:rPr>
          <w:rFonts w:hint="eastAsia" w:ascii="Arial" w:hAnsi="Arial"/>
          <w:b/>
          <w:bCs/>
          <w:color w:val="000000"/>
          <w:sz w:val="32"/>
          <w:szCs w:val="24"/>
          <w:highlight w:val="none"/>
          <w:lang w:val="en-US" w:eastAsia="zh-CN"/>
        </w:rPr>
        <w:t xml:space="preserve">12</w:t>
      </w:r>
      <w:r>
        <w:rPr>
          <w:rFonts w:hint="eastAsia" w:ascii="Arial" w:hAnsi="Arial"/>
          <w:b/>
          <w:bCs/>
          <w:color w:val="000000"/>
          <w:sz w:val="32"/>
          <w:szCs w:val="24"/>
          <w:highlight w:val="none"/>
        </w:rPr>
        <w:t xml:space="preserve">月</w:t>
      </w:r>
      <w:r/>
    </w:p>
    <w:p>
      <w:pPr>
        <w:jc w:val="center"/>
        <w:spacing w:before="120" w:after="120" w:line="360" w:lineRule="auto"/>
        <w:rPr>
          <w:highlight w:val="none"/>
        </w:rP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894"/>
        <w:rPr>
          <w:highlight w:val="none"/>
        </w:rPr>
      </w:pPr>
      <w:r>
        <w:rPr>
          <w:rFonts w:hint="eastAsia"/>
          <w:highlight w:val="none"/>
        </w:rPr>
        <w:t xml:space="preserve">目  录</w:t>
      </w:r>
      <w:r/>
    </w:p>
    <w:p>
      <w:pPr>
        <w:pStyle w:val="894"/>
        <w:rPr>
          <w:sz w:val="36"/>
          <w:szCs w:val="36"/>
          <w:highlight w:val="none"/>
        </w:rP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894"/>
        <w:rPr>
          <w:sz w:val="36"/>
          <w:szCs w:val="36"/>
          <w:highlight w:val="none"/>
        </w:rP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5</w:t>
      </w:r>
      <w:r>
        <w:rPr>
          <w:sz w:val="36"/>
          <w:szCs w:val="36"/>
          <w:highlight w:val="none"/>
        </w:rPr>
        <w:fldChar w:fldCharType="end"/>
      </w:r>
      <w:r/>
    </w:p>
    <w:p>
      <w:pPr>
        <w:pStyle w:val="894"/>
        <w:rPr>
          <w:sz w:val="36"/>
          <w:szCs w:val="36"/>
          <w:highlight w:val="none"/>
        </w:rP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p>
    <w:p>
      <w:pPr>
        <w:pStyle w:val="894"/>
        <w:rPr>
          <w:sz w:val="36"/>
          <w:szCs w:val="36"/>
          <w:highlight w:val="none"/>
        </w:rP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p>
    <w:p>
      <w:pPr>
        <w:pStyle w:val="894"/>
        <w:rPr>
          <w:sz w:val="36"/>
          <w:szCs w:val="36"/>
          <w:highlight w:val="none"/>
        </w:rP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49</w:t>
      </w:r>
      <w:r>
        <w:rPr>
          <w:sz w:val="36"/>
          <w:szCs w:val="36"/>
          <w:highlight w:val="none"/>
        </w:rPr>
        <w:fldChar w:fldCharType="end"/>
      </w:r>
      <w:r/>
    </w:p>
    <w:p>
      <w:pPr>
        <w:pStyle w:val="894"/>
        <w:rPr>
          <w:sz w:val="36"/>
          <w:szCs w:val="36"/>
          <w:highlight w:val="none"/>
        </w:rP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w:t>
      </w:r>
      <w:r>
        <w:rPr>
          <w:sz w:val="36"/>
          <w:szCs w:val="36"/>
          <w:highlight w:val="none"/>
        </w:rPr>
        <w:t xml:space="preserve">2</w:t>
      </w:r>
      <w:r>
        <w:rPr>
          <w:sz w:val="36"/>
          <w:szCs w:val="36"/>
          <w:highlight w:val="none"/>
        </w:rPr>
        <w:fldChar w:fldCharType="end"/>
      </w:r>
      <w:r/>
    </w:p>
    <w:p>
      <w:pPr>
        <w:jc w:val="left"/>
        <w:widowControl/>
        <w:rPr>
          <w:highlight w:val="none"/>
        </w:rPr>
      </w:pPr>
      <w:r>
        <w:rPr>
          <w:highlight w:val="none"/>
        </w:rPr>
        <w:fldChar w:fldCharType="end"/>
      </w:r>
      <w:r/>
    </w:p>
    <w:p>
      <w:pPr>
        <w:pStyle w:val="867"/>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867"/>
        <w:jc w:val="center"/>
        <w:spacing w:line="360" w:lineRule="auto"/>
        <w:rPr>
          <w:rFonts w:ascii="黑体" w:hAnsi="黑体" w:eastAsia="黑体"/>
          <w:b w:val="0"/>
          <w:highlight w:val="none"/>
        </w:rP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连云港市公安局</w:t>
      </w:r>
      <w:r>
        <w:rPr>
          <w:rFonts w:hint="eastAsia"/>
          <w:sz w:val="24"/>
          <w:szCs w:val="24"/>
          <w:highlight w:val="none"/>
        </w:rPr>
        <w:t xml:space="preserve">的委托，江苏协鸿工程咨询有限公司就</w:t>
      </w:r>
      <w:r>
        <w:rPr>
          <w:rFonts w:hint="eastAsia"/>
          <w:sz w:val="24"/>
          <w:szCs w:val="24"/>
          <w:highlight w:val="none"/>
          <w:lang w:eastAsia="zh-CN"/>
        </w:rPr>
        <w:t xml:space="preserve">重点部位无人机防御系统建设（专门面向中小企业）</w:t>
      </w:r>
      <w:r>
        <w:rPr>
          <w:rFonts w:hint="eastAsia"/>
          <w:sz w:val="24"/>
          <w:szCs w:val="24"/>
          <w:highlight w:val="none"/>
        </w:rPr>
        <w:t xml:space="preserve">（</w:t>
      </w:r>
      <w:r>
        <w:rPr>
          <w:rFonts w:hint="eastAsia"/>
          <w:sz w:val="24"/>
          <w:szCs w:val="24"/>
          <w:highlight w:val="none"/>
          <w:lang w:eastAsia="zh-CN"/>
        </w:rPr>
        <w:t xml:space="preserve">JSZC-320700-XHZX-G2025-0039</w:t>
      </w:r>
      <w:r>
        <w:rPr>
          <w:rFonts w:hint="eastAsia"/>
          <w:sz w:val="24"/>
          <w:szCs w:val="24"/>
          <w:highlight w:val="none"/>
        </w:rPr>
        <w:t xml:space="preserve">）进行公开招标采购，欢迎符合条件的供应商投标。</w:t>
      </w:r>
      <w:r/>
    </w:p>
    <w:tbl>
      <w:tblPr>
        <w:tblStyle w:val="655"/>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sz w:val="24"/>
                <w:szCs w:val="24"/>
                <w:highlight w:val="none"/>
                <w:u w:val="single"/>
                <w:lang w:eastAsia="zh-CN"/>
              </w:rPr>
              <w:t xml:space="preserve">重点部位无人机防御系统建设（专门面向中小企业）</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自行免费下载招标文件，并于2025年</w:t>
            </w:r>
            <w:r>
              <w:rPr>
                <w:rFonts w:hint="eastAsia"/>
                <w:sz w:val="24"/>
                <w:szCs w:val="24"/>
                <w:highlight w:val="none"/>
              </w:rPr>
              <w:t xml:space="preserve">12</w:t>
            </w:r>
            <w:r>
              <w:rPr>
                <w:rFonts w:hint="eastAsia"/>
                <w:sz w:val="24"/>
                <w:szCs w:val="24"/>
                <w:highlight w:val="none"/>
              </w:rPr>
              <w:t xml:space="preserve">月</w:t>
            </w:r>
            <w:r>
              <w:rPr>
                <w:rFonts w:hint="eastAsia"/>
                <w:sz w:val="24"/>
                <w:szCs w:val="24"/>
                <w:highlight w:val="none"/>
              </w:rPr>
              <w:t xml:space="preserve">30</w:t>
            </w:r>
            <w:r>
              <w:rPr>
                <w:rFonts w:hint="eastAsia"/>
                <w:sz w:val="24"/>
                <w:szCs w:val="24"/>
                <w:highlight w:val="none"/>
              </w:rPr>
              <w:t xml:space="preserve">日9:00:00（北京时间）前递交（上传）投标文件。</w:t>
            </w:r>
            <w:r/>
          </w:p>
        </w:tc>
      </w:tr>
    </w:tbl>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JSZC-320700-XHZX-G2025-0039</w:t>
      </w:r>
      <w:r/>
    </w:p>
    <w:p>
      <w:pPr>
        <w:ind w:firstLine="480"/>
        <w:jc w:val="left"/>
        <w:spacing w:line="500" w:lineRule="exact"/>
        <w:rPr>
          <w:sz w:val="24"/>
          <w:szCs w:val="24"/>
          <w:highlight w:val="none"/>
        </w:rPr>
      </w:pPr>
      <w:r>
        <w:rPr>
          <w:rFonts w:hint="eastAsia"/>
          <w:sz w:val="24"/>
          <w:szCs w:val="24"/>
          <w:highlight w:val="none"/>
        </w:rPr>
        <w:t xml:space="preserve">项目名称：</w:t>
      </w:r>
      <w:r>
        <w:rPr>
          <w:rFonts w:hint="eastAsia"/>
          <w:sz w:val="24"/>
          <w:szCs w:val="24"/>
          <w:highlight w:val="none"/>
          <w:lang w:eastAsia="zh-CN"/>
        </w:rPr>
        <w:t xml:space="preserve">重点部位无人机防御系统建设（专门面向中小企业）</w:t>
      </w:r>
      <w:r/>
    </w:p>
    <w:p>
      <w:pPr>
        <w:ind w:firstLine="480"/>
        <w:jc w:val="left"/>
        <w:spacing w:line="500" w:lineRule="exact"/>
        <w:rPr>
          <w:sz w:val="24"/>
          <w:szCs w:val="24"/>
          <w:highlight w:val="none"/>
        </w:rPr>
      </w:pPr>
      <w:r>
        <w:rPr>
          <w:rFonts w:hint="eastAsia"/>
          <w:sz w:val="24"/>
          <w:szCs w:val="24"/>
          <w:highlight w:val="none"/>
        </w:rPr>
        <w:t xml:space="preserve">预算金额：</w:t>
      </w:r>
      <w:r>
        <w:rPr>
          <w:rFonts w:hint="eastAsia"/>
          <w:sz w:val="24"/>
          <w:szCs w:val="24"/>
          <w:highlight w:val="none"/>
          <w:lang w:val="en-US" w:eastAsia="zh-CN"/>
        </w:rPr>
        <w:t xml:space="preserve">54</w:t>
      </w:r>
      <w:r>
        <w:rPr>
          <w:rFonts w:hint="eastAsia"/>
          <w:sz w:val="24"/>
          <w:szCs w:val="24"/>
          <w:highlight w:val="none"/>
        </w:rPr>
        <w:t xml:space="preserve">万元</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sz w:val="24"/>
          <w:szCs w:val="24"/>
          <w:highlight w:val="none"/>
          <w:lang w:val="en-US" w:eastAsia="zh-CN"/>
        </w:rPr>
        <w:t xml:space="preserve">54</w:t>
      </w:r>
      <w:r>
        <w:rPr>
          <w:rFonts w:hint="eastAsia"/>
          <w:sz w:val="24"/>
          <w:szCs w:val="24"/>
          <w:highlight w:val="none"/>
        </w:rPr>
        <w:t xml:space="preserve">万元，</w:t>
      </w:r>
      <w:r>
        <w:rPr>
          <w:rFonts w:hint="eastAsia" w:ascii="宋体" w:hAnsi="宋体"/>
          <w:color w:val="000000"/>
          <w:sz w:val="24"/>
          <w:highlight w:val="none"/>
        </w:rPr>
        <w:t xml:space="preserve">投标报价超过最高限价的投标无效。</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w:t>
      </w:r>
      <w:r>
        <w:rPr>
          <w:rFonts w:hint="eastAsia"/>
          <w:sz w:val="24"/>
          <w:szCs w:val="24"/>
          <w:highlight w:val="none"/>
          <w:lang w:eastAsia="zh-CN"/>
        </w:rPr>
        <w:t xml:space="preserve">：</w:t>
      </w:r>
      <w:r>
        <w:rPr>
          <w:rFonts w:hint="eastAsia"/>
          <w:sz w:val="24"/>
          <w:szCs w:val="24"/>
          <w:highlight w:val="none"/>
        </w:rPr>
        <w:t xml:space="preserve">主要为市重点场所提供无人机防护设备搭建，</w:t>
      </w:r>
      <w:r>
        <w:rPr>
          <w:rFonts w:hint="eastAsia"/>
          <w:sz w:val="24"/>
          <w:szCs w:val="24"/>
          <w:highlight w:val="none"/>
          <w:lang w:eastAsia="zh-CN"/>
        </w:rPr>
        <w:t xml:space="preserve">采购</w:t>
      </w:r>
      <w:r>
        <w:rPr>
          <w:rFonts w:hint="eastAsia" w:ascii="宋体" w:hAnsi="宋体" w:eastAsia="宋体" w:cs="宋体"/>
          <w:sz w:val="24"/>
          <w:highlight w:val="none"/>
          <w:lang w:val="en-US" w:eastAsia="zh-CN"/>
        </w:rPr>
        <w:t xml:space="preserve">无人机侦测</w:t>
      </w:r>
      <w:r>
        <w:rPr>
          <w:rFonts w:hint="eastAsia" w:ascii="宋体" w:hAnsi="宋体" w:eastAsia="宋体" w:cs="宋体"/>
          <w:sz w:val="24"/>
          <w:highlight w:val="none"/>
        </w:rPr>
        <w:t xml:space="preserve">设备</w:t>
      </w:r>
      <w:r>
        <w:rPr>
          <w:rFonts w:hint="eastAsia" w:ascii="宋体" w:hAnsi="宋体" w:eastAsia="宋体" w:cs="宋体"/>
          <w:sz w:val="24"/>
          <w:highlight w:val="none"/>
          <w:lang w:eastAsia="zh-CN"/>
        </w:rPr>
        <w:t xml:space="preserve">、</w:t>
      </w:r>
      <w:r>
        <w:rPr>
          <w:rFonts w:hint="eastAsia" w:eastAsia="宋体" w:cs="宋体" w:asciiTheme="minorEastAsia" w:hAnsiTheme="minorEastAsia"/>
          <w:sz w:val="24"/>
          <w:highlight w:val="none"/>
        </w:rPr>
        <w:t xml:space="preserve">无人机精准反制设备</w:t>
      </w:r>
      <w:r>
        <w:rPr>
          <w:rFonts w:hint="eastAsia" w:eastAsia="宋体" w:cs="宋体" w:asciiTheme="minorEastAsia" w:hAnsiTheme="minorEastAsia"/>
          <w:sz w:val="24"/>
          <w:highlight w:val="none"/>
          <w:lang w:eastAsia="zh-CN"/>
        </w:rPr>
        <w:t xml:space="preserve">等，</w:t>
      </w:r>
      <w:r>
        <w:rPr>
          <w:rFonts w:hint="eastAsia"/>
          <w:sz w:val="24"/>
          <w:szCs w:val="24"/>
          <w:highlight w:val="none"/>
        </w:rPr>
        <w:t xml:space="preserve">具体详见第四章</w:t>
      </w:r>
      <w:r>
        <w:rPr>
          <w:rFonts w:hint="eastAsia"/>
          <w:sz w:val="24"/>
          <w:szCs w:val="24"/>
          <w:highlight w:val="none"/>
          <w:lang w:val="en-US" w:eastAsia="zh-CN"/>
        </w:rPr>
        <w:t xml:space="preserve">采</w:t>
      </w:r>
      <w:bookmarkStart w:id="26" w:name="_GoBack"/>
      <w:r/>
      <w:bookmarkEnd w:id="26"/>
      <w:r>
        <w:rPr>
          <w:rFonts w:hint="eastAsia"/>
          <w:sz w:val="24"/>
          <w:szCs w:val="24"/>
          <w:highlight w:val="none"/>
          <w:lang w:val="en-US" w:eastAsia="zh-CN"/>
        </w:rPr>
        <w:t xml:space="preserve">购</w:t>
      </w:r>
      <w:r>
        <w:rPr>
          <w:rFonts w:hint="eastAsia"/>
          <w:sz w:val="24"/>
          <w:szCs w:val="24"/>
          <w:highlight w:val="none"/>
        </w:rPr>
        <w:t xml:space="preserve">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合同履行期限：</w:t>
      </w:r>
      <w:r>
        <w:rPr>
          <w:rFonts w:hint="eastAsia" w:ascii="宋体" w:hAnsi="宋体"/>
          <w:sz w:val="24"/>
          <w:szCs w:val="24"/>
          <w:highlight w:val="none"/>
          <w:lang w:eastAsia="zh-CN"/>
        </w:rPr>
        <w:t xml:space="preserve">合同签订后</w:t>
      </w:r>
      <w:r>
        <w:rPr>
          <w:rFonts w:hint="eastAsia" w:ascii="宋体" w:hAnsi="宋体"/>
          <w:sz w:val="24"/>
          <w:szCs w:val="24"/>
          <w:highlight w:val="none"/>
          <w:lang w:val="en-US" w:eastAsia="zh-CN"/>
        </w:rPr>
        <w:t xml:space="preserve">30</w:t>
      </w:r>
      <w:r>
        <w:rPr>
          <w:rFonts w:hint="eastAsia" w:ascii="宋体" w:hAnsi="宋体"/>
          <w:sz w:val="24"/>
          <w:szCs w:val="24"/>
          <w:highlight w:val="none"/>
          <w:lang w:eastAsia="zh-CN"/>
        </w:rPr>
        <w:t xml:space="preserve">天内完成安装调试，达到预期效果。</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none"/>
        </w:rPr>
      </w:pPr>
      <w:r>
        <w:rPr>
          <w:rFonts w:hint="eastAsia"/>
          <w:b/>
          <w:bCs/>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8.本项目不接受进口产品（进口产品是指通过中国海关报关验放进入中国境内且产自关境外的产品）。</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w:t>
      </w:r>
      <w:r>
        <w:rPr>
          <w:rFonts w:hint="eastAsia" w:ascii="宋体" w:hAnsi="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cs="Times New Roman"/>
          <w:b/>
          <w:bCs/>
          <w:sz w:val="24"/>
          <w:szCs w:val="28"/>
          <w:highlight w:val="none"/>
          <w:lang w:eastAsia="zh-CN"/>
        </w:rPr>
        <w:t xml:space="preserve">投标</w:t>
      </w:r>
      <w:r>
        <w:rPr>
          <w:rFonts w:hint="eastAsia" w:ascii="宋体" w:hAnsi="宋体" w:cs="Times New Roman"/>
          <w:b/>
          <w:bCs/>
          <w:sz w:val="24"/>
          <w:szCs w:val="28"/>
          <w:highlight w:val="none"/>
        </w:rPr>
        <w:t xml:space="preserve">文件格式）或《残疾人福利性单位声明函》（详见第六章 响应文件格式）或属于监狱企业的证明文件，否则按无效响应处理。</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时间：自招标公告发布之日起至2025年</w:t>
      </w:r>
      <w:r>
        <w:rPr>
          <w:rFonts w:hint="eastAsia" w:ascii="宋体" w:hAnsi="宋体"/>
          <w:sz w:val="24"/>
          <w:szCs w:val="24"/>
          <w:highlight w:val="none"/>
        </w:rPr>
        <w:t xml:space="preserve">12</w:t>
      </w:r>
      <w:r>
        <w:rPr>
          <w:rFonts w:hint="eastAsia" w:ascii="宋体" w:hAnsi="宋体"/>
          <w:sz w:val="24"/>
          <w:szCs w:val="24"/>
          <w:highlight w:val="none"/>
        </w:rPr>
        <w:t xml:space="preserve">月</w:t>
      </w:r>
      <w:r>
        <w:rPr>
          <w:rFonts w:hint="eastAsia" w:ascii="宋体" w:hAnsi="宋体"/>
          <w:sz w:val="24"/>
          <w:szCs w:val="24"/>
          <w:highlight w:val="none"/>
        </w:rPr>
        <w:t xml:space="preserve">16</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提交投标文件截止时间：2025年</w:t>
      </w:r>
      <w:r>
        <w:rPr>
          <w:rFonts w:hint="eastAsia"/>
          <w:sz w:val="24"/>
          <w:szCs w:val="24"/>
          <w:highlight w:val="none"/>
        </w:rPr>
        <w:t xml:space="preserve">12</w:t>
      </w:r>
      <w:r>
        <w:rPr>
          <w:rFonts w:hint="eastAsia"/>
          <w:sz w:val="24"/>
          <w:szCs w:val="24"/>
          <w:highlight w:val="none"/>
        </w:rPr>
        <w:t xml:space="preserve">月</w:t>
      </w:r>
      <w:r>
        <w:rPr>
          <w:rFonts w:hint="eastAsia"/>
          <w:sz w:val="24"/>
          <w:szCs w:val="24"/>
          <w:highlight w:val="none"/>
        </w:rPr>
        <w:t xml:space="preserve">30</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连云港市公安局</w:t>
      </w:r>
      <w:r/>
    </w:p>
    <w:p>
      <w:pPr>
        <w:ind w:firstLine="480"/>
        <w:jc w:val="left"/>
        <w:spacing w:line="500" w:lineRule="exact"/>
        <w:rPr>
          <w:sz w:val="24"/>
          <w:szCs w:val="24"/>
          <w:highlight w:val="none"/>
        </w:rPr>
      </w:pPr>
      <w:r>
        <w:rPr>
          <w:rFonts w:hint="eastAsia"/>
          <w:sz w:val="24"/>
          <w:szCs w:val="24"/>
          <w:highlight w:val="none"/>
        </w:rPr>
        <w:t xml:space="preserve">地    址：连云港市海州区朝阳东路9号</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联 系 人：</w:t>
      </w:r>
      <w:r>
        <w:rPr>
          <w:rFonts w:hint="eastAsia"/>
          <w:sz w:val="24"/>
          <w:szCs w:val="24"/>
          <w:highlight w:val="none"/>
          <w:lang w:eastAsia="zh-CN"/>
        </w:rPr>
        <w:t xml:space="preserve">李支队</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13961375118</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称：江苏协鸿工程咨询有限公司</w:t>
      </w:r>
      <w:r/>
    </w:p>
    <w:p>
      <w:pPr>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p>
    <w:p>
      <w:pPr>
        <w:ind w:firstLine="480"/>
        <w:jc w:val="left"/>
        <w:spacing w:line="500" w:lineRule="exact"/>
        <w:rPr>
          <w:sz w:val="24"/>
          <w:szCs w:val="24"/>
          <w:highlight w:val="none"/>
        </w:rPr>
      </w:pPr>
      <w:r>
        <w:rPr>
          <w:rFonts w:hint="eastAsia"/>
          <w:sz w:val="24"/>
          <w:szCs w:val="24"/>
          <w:highlight w:val="none"/>
        </w:rPr>
        <w:t xml:space="preserve">联 系 人：陈工</w:t>
      </w:r>
      <w:r/>
    </w:p>
    <w:p>
      <w:pPr>
        <w:ind w:firstLine="480"/>
        <w:jc w:val="left"/>
        <w:spacing w:line="500" w:lineRule="exact"/>
        <w:rPr>
          <w:sz w:val="24"/>
          <w:szCs w:val="24"/>
          <w:highlight w:val="none"/>
        </w:rPr>
      </w:pPr>
      <w:r>
        <w:rPr>
          <w:rFonts w:hint="eastAsia"/>
          <w:sz w:val="24"/>
          <w:szCs w:val="24"/>
          <w:highlight w:val="none"/>
        </w:rPr>
        <w:t xml:space="preserve">联系电话：0518-82341968</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rFonts w:hint="eastAsia"/>
          <w:sz w:val="24"/>
          <w:szCs w:val="24"/>
          <w:highlight w:val="none"/>
        </w:rPr>
      </w:pPr>
      <w:r>
        <w:rPr>
          <w:rFonts w:hint="eastAsia"/>
          <w:sz w:val="24"/>
          <w:szCs w:val="24"/>
          <w:highlight w:val="none"/>
        </w:rPr>
        <w:t xml:space="preserve">项目联系人：</w:t>
      </w:r>
      <w:r>
        <w:rPr>
          <w:rFonts w:hint="eastAsia"/>
          <w:sz w:val="24"/>
          <w:szCs w:val="24"/>
          <w:highlight w:val="none"/>
          <w:lang w:eastAsia="zh-CN"/>
        </w:rPr>
        <w:t xml:space="preserve">李支队</w:t>
      </w:r>
      <w:r/>
    </w:p>
    <w:p>
      <w:pPr>
        <w:ind w:firstLine="480"/>
        <w:jc w:val="left"/>
        <w:spacing w:line="500" w:lineRule="exact"/>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13961375118</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867"/>
        <w:jc w:val="center"/>
        <w:spacing w:line="360" w:lineRule="auto"/>
        <w:rPr>
          <w:rFonts w:ascii="黑体" w:hAnsi="黑体" w:eastAsia="黑体"/>
          <w:b w:val="0"/>
          <w:highlight w:val="none"/>
        </w:rPr>
      </w:pPr>
      <w:r/>
      <w:bookmarkStart w:id="1" w:name="_Toc165205795"/>
      <w:r>
        <w:rPr>
          <w:rFonts w:hint="eastAsia" w:ascii="黑体" w:hAnsi="黑体" w:eastAsia="黑体"/>
          <w:b w:val="0"/>
          <w:highlight w:val="none"/>
        </w:rPr>
        <w:t xml:space="preserve">第二章  供应商须知</w:t>
      </w:r>
      <w:bookmarkEnd w:id="1"/>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869"/>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69"/>
        <w:ind w:firstLine="562"/>
        <w:jc w:val="left"/>
        <w:spacing w:before="0" w:after="0" w:line="360" w:lineRule="auto"/>
        <w:rPr>
          <w:sz w:val="28"/>
          <w:szCs w:val="28"/>
          <w:highlight w:val="none"/>
        </w:rPr>
      </w:pPr>
      <w:r>
        <w:rPr>
          <w:rFonts w:hint="eastAsia"/>
          <w:sz w:val="28"/>
          <w:szCs w:val="28"/>
          <w:highlight w:val="none"/>
        </w:rPr>
        <w:t xml:space="preserve">2、合格的供应商</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符合上述条件的供应商应承担投标及履约过程应承担的全部责任与义务。</w:t>
      </w:r>
      <w:r/>
    </w:p>
    <w:p>
      <w:pPr>
        <w:pStyle w:val="869"/>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69"/>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本项目采购代理费根据苏招协【2022】002号收费标准的</w:t>
      </w:r>
      <w:r>
        <w:rPr>
          <w:rFonts w:hint="eastAsia"/>
          <w:sz w:val="24"/>
          <w:szCs w:val="24"/>
          <w:highlight w:val="none"/>
          <w:lang w:val="en-US" w:eastAsia="zh-CN"/>
        </w:rPr>
        <w:t xml:space="preserve">40</w:t>
      </w:r>
      <w:r>
        <w:rPr>
          <w:rFonts w:hint="eastAsia"/>
          <w:sz w:val="24"/>
          <w:szCs w:val="24"/>
          <w:highlight w:val="none"/>
        </w:rPr>
        <w:t xml:space="preserve">%计取，由中标人支付。支付方式：电汇、网银、现金。</w:t>
      </w:r>
      <w:r/>
    </w:p>
    <w:p>
      <w:pPr>
        <w:pStyle w:val="869"/>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供应商一旦参与本项目采购活动，即被认为接受了本招标文件的规定和约束。</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（2）供应商须知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请仔细检查招标文件是否齐全，如有缺漏请立即与采购代理机构联系解决。</w:t>
      </w:r>
      <w:r/>
    </w:p>
    <w:p>
      <w:pPr>
        <w:pStyle w:val="869"/>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p>
    <w:p>
      <w:pPr>
        <w:pStyle w:val="869"/>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在投标截止时间前，采购人和采购代理机构可以对招标文件进行修改。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采购人和采购代理机构有权按照法定的要求推迟投标截止时间和开标时间。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招标文件的修改将在江苏政府采购网公布，补充文件将作为招标文件的组成部分，并对供应商具有约束力。</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869"/>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69"/>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69"/>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869"/>
        <w:ind w:firstLine="562"/>
        <w:jc w:val="left"/>
        <w:spacing w:before="0" w:after="0" w:line="360" w:lineRule="auto"/>
        <w:rPr>
          <w:sz w:val="28"/>
          <w:szCs w:val="28"/>
          <w:highlight w:val="none"/>
        </w:rP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869"/>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Pr>
      <w:r>
        <w:rPr>
          <w:rFonts w:hint="eastAsia"/>
          <w:sz w:val="24"/>
          <w:szCs w:val="24"/>
          <w:highlight w:val="none"/>
        </w:rPr>
        <w:t xml:space="preserve">（1）投标的货物总价；</w:t>
      </w:r>
      <w:r/>
    </w:p>
    <w:p>
      <w:pPr>
        <w:ind w:firstLine="480"/>
        <w:jc w:val="left"/>
        <w:spacing w:line="500" w:lineRule="exact"/>
        <w:rPr>
          <w:sz w:val="24"/>
          <w:szCs w:val="24"/>
          <w:highlight w:val="none"/>
        </w:rP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Pr>
      <w:r>
        <w:rPr>
          <w:rFonts w:hint="eastAsia"/>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13.3 投标文件中的单价和总价无特殊规定的采用人民币报价，以元为单位标注。招标文件中另有规定的按规定执行。</w:t>
      </w:r>
      <w:r/>
    </w:p>
    <w:p>
      <w:pPr>
        <w:pStyle w:val="869"/>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供应商可在投标文件中提供认为需要的其他技术文件或说明。</w:t>
      </w:r>
      <w:r/>
    </w:p>
    <w:p>
      <w:pPr>
        <w:pStyle w:val="869"/>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供应商应根据招标文件要求提供所投标的的主要组成部分、功能设计、实现思路及关键技术等。</w:t>
      </w:r>
      <w:r/>
    </w:p>
    <w:p>
      <w:pPr>
        <w:pStyle w:val="869"/>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69"/>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highlight w:val="none"/>
        </w:rP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869"/>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供应商应当按照《操作手册》规定，在投标截止时间前制作并递交（上传）电子投标文件。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69"/>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采购代理机构拒绝接收在招标文件规定的投标截止时间后递交（上传）的任何投标文件。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在投标截止时间至招标文件规定的投标有效期满之间的这段时间内，供应商不得撤回其投标。</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869"/>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none"/>
        </w:rP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p>
    <w:p>
      <w:pPr>
        <w:pStyle w:val="869"/>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开标后，采购代理机构将组织评委会进行评标。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69"/>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采购代理机构和评委会不向未中标的供应商解释未中标原因，也不公布评标过程中的相关细节。</w:t>
      </w:r>
      <w:r/>
    </w:p>
    <w:p>
      <w:pPr>
        <w:pStyle w:val="869"/>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接到评委会澄清、说明或者补正要求的供应商如未按要求响应，其风险由供应商自行承担。</w:t>
      </w:r>
      <w:r/>
    </w:p>
    <w:p>
      <w:pPr>
        <w:pStyle w:val="869"/>
        <w:ind w:firstLine="562"/>
        <w:jc w:val="left"/>
        <w:spacing w:before="0" w:after="0" w:line="360" w:lineRule="auto"/>
        <w:rPr>
          <w:sz w:val="28"/>
          <w:szCs w:val="28"/>
          <w:highlight w:val="none"/>
        </w:rPr>
      </w:pPr>
      <w:r>
        <w:rPr>
          <w:rFonts w:hint="eastAsia"/>
          <w:sz w:val="28"/>
          <w:szCs w:val="28"/>
          <w:highlight w:val="none"/>
        </w:rPr>
        <w:t xml:space="preserve">26、对投标文件的审查</w:t>
      </w:r>
      <w:r/>
    </w:p>
    <w:p>
      <w:pPr>
        <w:ind w:firstLine="480"/>
        <w:jc w:val="left"/>
        <w:spacing w:line="500" w:lineRule="exact"/>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p>
    <w:p>
      <w:pPr>
        <w:ind w:firstLine="480"/>
        <w:jc w:val="left"/>
        <w:spacing w:line="500" w:lineRule="exact"/>
        <w:rPr>
          <w:color w:val="000000"/>
          <w:sz w:val="24"/>
          <w:szCs w:val="24"/>
          <w:highlight w:val="none"/>
        </w:rPr>
      </w:pPr>
      <w:r>
        <w:rPr>
          <w:rFonts w:hint="eastAsia"/>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Pr>
      <w:r>
        <w:rPr>
          <w:rFonts w:hint="eastAsia"/>
          <w:sz w:val="24"/>
          <w:szCs w:val="24"/>
          <w:highlight w:val="none"/>
        </w:rPr>
        <w:t xml:space="preserve">26.7 政府采购异常低价审查：</w:t>
      </w:r>
      <w:r/>
    </w:p>
    <w:p>
      <w:pPr>
        <w:ind w:firstLine="480"/>
        <w:jc w:val="left"/>
        <w:spacing w:line="500" w:lineRule="exact"/>
        <w:rPr>
          <w:sz w:val="24"/>
          <w:szCs w:val="24"/>
          <w:highlight w:val="none"/>
        </w:rPr>
      </w:pPr>
      <w:r>
        <w:rPr>
          <w:rFonts w:hint="eastAsia"/>
          <w:sz w:val="24"/>
          <w:szCs w:val="24"/>
          <w:highlight w:val="none"/>
        </w:rPr>
        <w:t xml:space="preserve">（1）评审过程中出现下列情形之一的，评标委员会应当启动异常低价投标（响应）审查程序：</w:t>
      </w:r>
      <w:r/>
    </w:p>
    <w:p>
      <w:pPr>
        <w:ind w:firstLine="480"/>
        <w:jc w:val="left"/>
        <w:spacing w:line="500" w:lineRule="exact"/>
        <w:rPr>
          <w:sz w:val="24"/>
          <w:szCs w:val="24"/>
          <w:highlight w:val="none"/>
        </w:rPr>
      </w:pPr>
      <w:r>
        <w:rPr>
          <w:rFonts w:hint="eastAsia"/>
          <w:sz w:val="24"/>
          <w:szCs w:val="24"/>
          <w:highlight w:val="none"/>
        </w:rPr>
        <w:t xml:space="preserve">①投标（响应）报价低于采购项目预算50%的，即投标（响应）报价&lt;采购项目预算×50%；</w:t>
      </w:r>
      <w:r/>
    </w:p>
    <w:p>
      <w:pPr>
        <w:ind w:firstLine="480"/>
        <w:jc w:val="left"/>
        <w:spacing w:line="500" w:lineRule="exact"/>
        <w:rPr>
          <w:sz w:val="24"/>
          <w:szCs w:val="24"/>
          <w:highlight w:val="none"/>
        </w:rPr>
      </w:pPr>
      <w:r>
        <w:rPr>
          <w:rFonts w:hint="eastAsia"/>
          <w:sz w:val="24"/>
          <w:szCs w:val="24"/>
          <w:highlight w:val="none"/>
        </w:rPr>
        <w:t xml:space="preserve">②投标（响应）报价低于采购项目最高限价45%的，即投标（响应）报价&lt;采购项目最高限价×45%；</w:t>
      </w:r>
      <w:r/>
    </w:p>
    <w:p>
      <w:pPr>
        <w:ind w:firstLine="480"/>
        <w:jc w:val="left"/>
        <w:spacing w:line="500" w:lineRule="exact"/>
        <w:rPr>
          <w:sz w:val="24"/>
          <w:szCs w:val="24"/>
          <w:highlight w:val="none"/>
        </w:rPr>
      </w:pPr>
      <w:r>
        <w:rPr>
          <w:rFonts w:hint="eastAsia"/>
          <w:sz w:val="24"/>
          <w:szCs w:val="24"/>
          <w:highlight w:val="none"/>
        </w:rPr>
        <w:t xml:space="preserve">③评标委员会认定的供应商报价过低、有可能影响产品质量或者不能诚信履约的其他情形。</w:t>
      </w:r>
      <w:r/>
    </w:p>
    <w:p>
      <w:pPr>
        <w:ind w:firstLine="480"/>
        <w:jc w:val="left"/>
        <w:spacing w:line="500" w:lineRule="exact"/>
        <w:rPr>
          <w:sz w:val="24"/>
          <w:szCs w:val="24"/>
          <w:highlight w:val="none"/>
        </w:rPr>
      </w:pPr>
      <w:r>
        <w:rPr>
          <w:rFonts w:hint="eastAsia"/>
          <w:sz w:val="24"/>
          <w:szCs w:val="24"/>
          <w:highlight w:val="none"/>
        </w:rPr>
        <w:t xml:space="preserve">（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sz w:val="24"/>
          <w:szCs w:val="24"/>
          <w:highlight w:val="none"/>
        </w:rP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69"/>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869"/>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采购代理机构将在江苏政府采购网发布中标公告，公告期限为1个工作日。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（3）与采购人、其他供应商或者采购代理机构恶意串通的。</w:t>
      </w:r>
      <w:r/>
    </w:p>
    <w:p>
      <w:pPr>
        <w:ind w:firstLine="480"/>
        <w:jc w:val="left"/>
        <w:spacing w:line="500" w:lineRule="exact"/>
        <w:rPr>
          <w:sz w:val="24"/>
          <w:szCs w:val="24"/>
          <w:highlight w:val="none"/>
        </w:rPr>
      </w:pPr>
      <w:r>
        <w:rPr>
          <w:rFonts w:hint="eastAsia"/>
          <w:sz w:val="24"/>
          <w:szCs w:val="24"/>
          <w:highlight w:val="none"/>
        </w:rPr>
        <w:t xml:space="preserve">（4）向采购人、采购代理机构行贿或者提供其他不正当利益的。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69"/>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869"/>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szCs w:val="24"/>
          <w:highlight w:val="none"/>
        </w:rP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869"/>
        <w:ind w:firstLine="562"/>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9"/>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9"/>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69"/>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69"/>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69"/>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采购人、采购代理机构依法受理的质疑，将按照政府采购有关规定，在法定期限内作出答复。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69"/>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69"/>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869"/>
        <w:ind w:firstLine="562"/>
        <w:jc w:val="left"/>
        <w:spacing w:before="0" w:after="0" w:line="360" w:lineRule="auto"/>
        <w:rPr>
          <w:sz w:val="28"/>
          <w:szCs w:val="28"/>
          <w:highlight w:val="none"/>
        </w:rPr>
      </w:pPr>
      <w:r>
        <w:rPr>
          <w:rFonts w:hint="eastAsia"/>
          <w:sz w:val="28"/>
          <w:szCs w:val="28"/>
          <w:highlight w:val="none"/>
        </w:rPr>
        <w:t xml:space="preserve">39、支持绿色发展</w:t>
      </w:r>
      <w:r/>
    </w:p>
    <w:p>
      <w:pPr>
        <w:ind w:firstLine="480"/>
        <w:jc w:val="left"/>
        <w:spacing w:line="50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69"/>
        <w:ind w:firstLine="562"/>
        <w:jc w:val="left"/>
        <w:spacing w:before="0" w:after="0" w:line="360" w:lineRule="auto"/>
        <w:rPr>
          <w:sz w:val="28"/>
          <w:szCs w:val="28"/>
          <w:highlight w:val="none"/>
        </w:rPr>
      </w:pPr>
      <w:r>
        <w:rPr>
          <w:rFonts w:hint="eastAsia"/>
          <w:sz w:val="28"/>
          <w:szCs w:val="28"/>
          <w:highlight w:val="none"/>
        </w:rPr>
        <w:t xml:space="preserve">40、政府采购需求标准</w:t>
      </w:r>
      <w:r/>
    </w:p>
    <w:p>
      <w:pPr>
        <w:ind w:firstLine="480"/>
        <w:jc w:val="left"/>
        <w:spacing w:line="500" w:lineRule="exact"/>
        <w:rPr>
          <w:sz w:val="24"/>
          <w:szCs w:val="24"/>
          <w:highlight w:val="none"/>
        </w:rPr>
      </w:pPr>
      <w:r>
        <w:rPr>
          <w:rFonts w:hint="eastAsia"/>
          <w:sz w:val="24"/>
          <w:szCs w:val="24"/>
          <w:highlight w:val="none"/>
        </w:rPr>
        <w:t xml:space="preserve">40.1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67"/>
        <w:jc w:val="center"/>
        <w:spacing w:line="360" w:lineRule="auto"/>
        <w:rPr>
          <w:rFonts w:ascii="黑体" w:hAnsi="黑体" w:eastAsia="黑体"/>
          <w:b w:val="0"/>
          <w:highlight w:val="none"/>
        </w:rPr>
      </w:pPr>
      <w:r/>
      <w:bookmarkStart w:id="2" w:name="_Toc165205796"/>
      <w:r>
        <w:rPr>
          <w:rFonts w:hint="eastAsia" w:ascii="黑体" w:hAnsi="黑体" w:eastAsia="黑体"/>
          <w:b w:val="0"/>
          <w:highlight w:val="none"/>
        </w:rPr>
        <w:t xml:space="preserve">第三章  合同文本</w:t>
      </w:r>
      <w:bookmarkEnd w:id="2"/>
      <w:r/>
      <w:r/>
    </w:p>
    <w:p>
      <w:pPr>
        <w:pStyle w:val="880"/>
        <w:jc w:val="center"/>
        <w:spacing w:after="0"/>
        <w:rPr>
          <w:rFonts w:ascii="宋体" w:hAnsi="宋体" w:cs="宋体"/>
          <w:b/>
          <w:bCs/>
          <w:spacing w:val="-20"/>
          <w:sz w:val="48"/>
          <w:szCs w:val="48"/>
          <w:highlight w:val="none"/>
        </w:rPr>
      </w:pPr>
      <w:r/>
      <w:bookmarkStart w:id="3" w:name="_Toc3995"/>
      <w:r/>
      <w:r/>
    </w:p>
    <w:p>
      <w:pPr>
        <w:pStyle w:val="880"/>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0"/>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0"/>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0"/>
        <w:jc w:val="center"/>
        <w:spacing w:after="0"/>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Pr>
      <w:r>
        <w:rPr>
          <w:rFonts w:hint="eastAsia"/>
          <w:sz w:val="32"/>
          <w:szCs w:val="32"/>
          <w:highlight w:val="none"/>
        </w:rPr>
        <w:t xml:space="preserve">合同编号：</w:t>
      </w:r>
      <w:r/>
    </w:p>
    <w:p>
      <w:pPr>
        <w:ind w:left="420"/>
        <w:spacing w:line="360" w:lineRule="auto"/>
        <w:rPr>
          <w:sz w:val="32"/>
          <w:szCs w:val="32"/>
          <w:highlight w:val="none"/>
        </w:rPr>
      </w:pPr>
      <w:r>
        <w:rPr>
          <w:rFonts w:hint="eastAsia"/>
          <w:sz w:val="32"/>
          <w:szCs w:val="32"/>
          <w:highlight w:val="none"/>
        </w:rPr>
        <w:t xml:space="preserve">甲    方：</w:t>
      </w:r>
      <w:r/>
    </w:p>
    <w:p>
      <w:pPr>
        <w:ind w:left="420"/>
        <w:spacing w:line="360" w:lineRule="auto"/>
        <w:rPr>
          <w:sz w:val="32"/>
          <w:szCs w:val="32"/>
          <w:highlight w:val="none"/>
          <w:u w:val="single"/>
        </w:rPr>
      </w:pPr>
      <w:r>
        <w:rPr>
          <w:rFonts w:hint="eastAsia"/>
          <w:sz w:val="32"/>
          <w:szCs w:val="32"/>
          <w:highlight w:val="none"/>
        </w:rPr>
        <w:t xml:space="preserve">乙    方：</w:t>
      </w:r>
      <w:r/>
    </w:p>
    <w:p>
      <w:pPr>
        <w:ind w:left="420"/>
        <w:spacing w:line="360" w:lineRule="auto"/>
        <w:rPr>
          <w:sz w:val="32"/>
          <w:szCs w:val="32"/>
          <w:highlight w:val="none"/>
        </w:rPr>
      </w:pPr>
      <w:r>
        <w:rPr>
          <w:rFonts w:hint="eastAsia"/>
          <w:sz w:val="32"/>
          <w:szCs w:val="32"/>
          <w:highlight w:val="none"/>
        </w:rPr>
        <w:t xml:space="preserve">签订时间：</w:t>
      </w:r>
      <w:r/>
    </w:p>
    <w:p>
      <w:pPr>
        <w:jc w:val="left"/>
        <w:widowControl/>
        <w:rPr>
          <w:rFonts w:eastAsia="黑体"/>
          <w:sz w:val="44"/>
          <w:szCs w:val="44"/>
          <w:highlight w:val="none"/>
        </w:rPr>
      </w:pPr>
      <w:r>
        <w:rPr>
          <w:rFonts w:eastAsia="黑体"/>
          <w:sz w:val="44"/>
          <w:szCs w:val="44"/>
          <w:highlight w:val="none"/>
        </w:rPr>
        <w:br w:type="page" w:clear="all"/>
      </w:r>
      <w:r/>
    </w:p>
    <w:p>
      <w:pPr>
        <w:jc w:val="center"/>
        <w:rPr>
          <w:rFonts w:ascii="黑体" w:hAnsi="黑体" w:eastAsia="黑体"/>
          <w:sz w:val="44"/>
          <w:szCs w:val="44"/>
          <w:highlight w:val="none"/>
        </w:rP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none"/>
        </w:rPr>
      </w:pPr>
      <w:r/>
      <w:bookmarkStart w:id="4" w:name="_Toc22209"/>
      <w:r>
        <w:rPr>
          <w:rFonts w:ascii="黑体" w:hAnsi="黑体" w:eastAsia="黑体"/>
          <w:b/>
          <w:bCs/>
          <w:sz w:val="28"/>
          <w:szCs w:val="28"/>
          <w:highlight w:val="none"/>
        </w:rPr>
        <w:br w:type="page" w:clear="all"/>
      </w:r>
      <w:r/>
    </w:p>
    <w:p>
      <w:pPr>
        <w:pStyle w:val="868"/>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乙方（全称）：（供应商）</w:t>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highlight w:val="none"/>
        </w:rPr>
      </w:pPr>
      <w:r>
        <w:rPr>
          <w:rFonts w:ascii="宋体" w:hAnsi="宋体"/>
          <w:highlight w:val="none"/>
        </w:rPr>
      </w:r>
      <w:r/>
    </w:p>
    <w:p>
      <w:pPr>
        <w:pStyle w:val="661"/>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p>
    <w:p>
      <w:pPr>
        <w:pStyle w:val="661"/>
        <w:numPr>
          <w:ilvl w:val="0"/>
          <w:numId w:val="2"/>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661"/>
        <w:numPr>
          <w:ilvl w:val="255"/>
          <w:numId w:val="0"/>
        </w:numPr>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661"/>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899"/>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99"/>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899"/>
        <w:numPr>
          <w:ilvl w:val="255"/>
          <w:numId w:val="0"/>
        </w:numPr>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99"/>
        <w:numPr>
          <w:ilvl w:val="255"/>
          <w:numId w:val="0"/>
        </w:numPr>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99"/>
        <w:numPr>
          <w:ilvl w:val="255"/>
          <w:numId w:val="0"/>
        </w:numPr>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899"/>
        <w:numPr>
          <w:ilvl w:val="255"/>
          <w:numId w:val="0"/>
        </w:numPr>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p>
    <w:p>
      <w:pPr>
        <w:pStyle w:val="899"/>
        <w:numPr>
          <w:ilvl w:val="255"/>
          <w:numId w:val="0"/>
        </w:numPr>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899"/>
        <w:numPr>
          <w:ilvl w:val="255"/>
          <w:numId w:val="0"/>
        </w:numPr>
        <w:ind w:firstLine="42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899"/>
        <w:numPr>
          <w:ilvl w:val="255"/>
          <w:numId w:val="0"/>
        </w:numPr>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899"/>
        <w:numPr>
          <w:ilvl w:val="255"/>
          <w:numId w:val="0"/>
        </w:numPr>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99"/>
        <w:numPr>
          <w:ilvl w:val="255"/>
          <w:numId w:val="0"/>
        </w:numPr>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99"/>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numPr>
          <w:ilvl w:val="255"/>
          <w:numId w:val="0"/>
        </w:num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numPr>
          <w:ilvl w:val="255"/>
          <w:numId w:val="0"/>
        </w:num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99"/>
        <w:numPr>
          <w:ilvl w:val="255"/>
          <w:numId w:val="0"/>
        </w:numPr>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899"/>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899"/>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00"/>
        <w:spacing w:line="400" w:lineRule="exact"/>
        <w:rPr>
          <w:highlight w:val="none"/>
        </w:rPr>
      </w:pPr>
      <w:r>
        <w:rPr>
          <w:rFonts w:hint="eastAsia" w:ascii="宋体" w:hAnsi="宋体"/>
          <w:highlight w:val="none"/>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99"/>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p>
    <w:p>
      <w:pPr>
        <w:pStyle w:val="899"/>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3"/>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899"/>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99"/>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jc w:val="left"/>
        <w:spacing w:line="400" w:lineRule="exact"/>
        <w:rPr>
          <w:rFonts w:ascii="宋体" w:hAnsi="宋体"/>
          <w:highlight w:val="none"/>
        </w:rPr>
      </w:pPr>
      <w:r>
        <w:rPr>
          <w:rFonts w:hint="eastAsia" w:ascii="宋体" w:hAnsi="宋体"/>
          <w:szCs w:val="21"/>
          <w:highlight w:val="none"/>
        </w:rPr>
        <w:t xml:space="preserve">附件：具体标的及其技术要求和商务要求、联合协议、分包意向协议等。</w:t>
      </w:r>
      <w:r/>
    </w:p>
    <w:p>
      <w:pPr>
        <w:rPr>
          <w:highlight w:val="none"/>
        </w:rPr>
      </w:pPr>
      <w:r>
        <w:rPr>
          <w:rFonts w:hint="eastAsia"/>
          <w:highlight w:val="none"/>
        </w:rPr>
        <w:br w:type="page" w:clear="all"/>
      </w:r>
      <w:r/>
    </w:p>
    <w:tbl>
      <w:tblPr>
        <w:tblStyle w:val="67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00"/>
              <w:ind w:left="0" w:firstLine="0"/>
              <w:jc w:val="left"/>
              <w:rPr>
                <w:highlight w:val="none"/>
                <w:vertAlign w:val="baseline"/>
              </w:rPr>
            </w:pPr>
            <w:r>
              <w:rPr>
                <w:rFonts w:hint="eastAsia" w:ascii="宋体" w:hAnsi="宋体" w:eastAsia="Arial" w:cs="Times New Roman"/>
                <w:b w:val="0"/>
                <w:bCs w:val="0"/>
                <w:szCs w:val="21"/>
                <w:highlight w:val="none"/>
                <w:u w:val="none"/>
              </w:rPr>
              <w:t xml:space="preserve">甲方单位名称(公章或合同章)</w:t>
            </w:r>
            <w:r>
              <w:rPr>
                <w:rFonts w:hint="eastAsia" w:ascii="宋体" w:hAnsi="宋体" w:eastAsia="宋体" w:cs="Times New Roman"/>
                <w:b w:val="0"/>
                <w:bCs w:val="0"/>
                <w:szCs w:val="21"/>
                <w:highlight w:val="none"/>
                <w:u w:val="none"/>
                <w:lang w:eastAsia="zh-CN"/>
              </w:rPr>
              <w:t xml:space="preserve">：连云港市公安局</w:t>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highlight w:val="none"/>
                <w:vertAlign w:val="baseli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pStyle w:val="900"/>
              <w:ind w:left="0" w:firstLine="0"/>
              <w:jc w:val="left"/>
              <w:rPr>
                <w:highlight w:val="none"/>
                <w:vertAlign w:val="baseline"/>
              </w:rPr>
            </w:pPr>
            <w:r>
              <w:rPr>
                <w:rFonts w:hint="eastAsia" w:ascii="宋体" w:hAnsi="宋体" w:eastAsia="Arial" w:cs="Times New Roman"/>
                <w:b w:val="0"/>
                <w:bCs w:val="0"/>
                <w:szCs w:val="21"/>
                <w:highlight w:val="none"/>
                <w:u w:val="none"/>
              </w:rPr>
              <w:t xml:space="preserve">通信地址</w:t>
            </w:r>
            <w:r>
              <w:rPr>
                <w:rFonts w:hint="eastAsia" w:ascii="宋体" w:hAnsi="宋体" w:eastAsia="宋体" w:cs="Times New Roman"/>
                <w:b w:val="0"/>
                <w:bCs w:val="0"/>
                <w:szCs w:val="21"/>
                <w:highlight w:val="none"/>
                <w:u w:val="none"/>
                <w:lang w:eastAsia="zh-CN"/>
              </w:rPr>
              <w:t xml:space="preserve">：</w:t>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rFonts w:hint="eastAsia" w:eastAsiaTheme="minorEastAsia"/>
                <w:highlight w:val="none"/>
                <w:lang w:eastAsia="zh-CN"/>
              </w:rPr>
            </w:pPr>
            <w:r>
              <w:rPr>
                <w:rFonts w:hint="eastAsia"/>
                <w:highlight w:val="none"/>
              </w:rPr>
              <w:t xml:space="preserve">电子邮箱</w:t>
            </w:r>
            <w:r>
              <w:rPr>
                <w:rFonts w:hint="eastAsia"/>
                <w:highlight w:val="none"/>
                <w:lang w:eastAsia="zh-CN"/>
              </w:rPr>
              <w:t xml:space="preserve">：</w:t>
            </w:r>
            <w:r/>
          </w:p>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pStyle w:val="900"/>
              <w:jc w:val="left"/>
              <w:rPr>
                <w:highlight w:val="none"/>
                <w:vertAlign w:val="baseline"/>
              </w:rPr>
            </w:pPr>
            <w:r>
              <w:rPr>
                <w:highlight w:val="none"/>
                <w:vertAlign w:val="baseline"/>
              </w:rPr>
            </w:r>
            <w:r/>
          </w:p>
        </w:tc>
        <w:tc>
          <w:tcPr>
            <w:tcW w:w="4927"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pStyle w:val="900"/>
              <w:jc w:val="left"/>
              <w:rPr>
                <w:highlight w:val="none"/>
                <w:vertAlign w:val="baseline"/>
              </w:rPr>
            </w:pPr>
            <w:r>
              <w:rPr>
                <w:highlight w:val="none"/>
                <w:vertAlign w:val="baseline"/>
              </w:rPr>
            </w:r>
            <w:r/>
          </w:p>
        </w:tc>
      </w:tr>
      <w:tr>
        <w:trPr>
          <w:trHeight w:val="567"/>
        </w:trPr>
        <w:tc>
          <w:tcPr>
            <w:tcW w:w="4927" w:type="dxa"/>
            <w:vAlign w:val="center"/>
            <w:textDirection w:val="lrTb"/>
            <w:noWrap w:val="false"/>
          </w:tcPr>
          <w:p>
            <w:pPr>
              <w:pStyle w:val="900"/>
              <w:jc w:val="left"/>
              <w:rPr>
                <w:highlight w:val="none"/>
                <w:vertAlign w:val="baseline"/>
              </w:rPr>
            </w:pPr>
            <w:r>
              <w:rPr>
                <w:highlight w:val="none"/>
                <w:vertAlign w:val="baseline"/>
              </w:rPr>
            </w:r>
            <w:r/>
          </w:p>
        </w:tc>
        <w:tc>
          <w:tcPr>
            <w:tcW w:w="4927" w:type="dxa"/>
            <w:vAlign w:val="center"/>
            <w:textDirection w:val="lrTb"/>
            <w:noWrap w:val="false"/>
          </w:tcPr>
          <w:p>
            <w:pPr>
              <w:pStyle w:val="900"/>
              <w:jc w:val="left"/>
              <w:rPr>
                <w:highlight w:val="none"/>
                <w:vertAlign w:val="baseline"/>
              </w:rPr>
            </w:pPr>
            <w:r>
              <w:rPr>
                <w:rFonts w:hint="eastAsia" w:ascii="宋体" w:hAnsi="宋体" w:eastAsia="Arial" w:cs="Times New Roman"/>
                <w:b w:val="0"/>
                <w:bCs w:val="0"/>
                <w:szCs w:val="21"/>
                <w:highlight w:val="none"/>
                <w:u w:val="none"/>
              </w:rPr>
              <w:t xml:space="preserve">开户银行：</w:t>
            </w:r>
            <w:r/>
          </w:p>
        </w:tc>
      </w:tr>
      <w:tr>
        <w:trPr>
          <w:trHeight w:val="567"/>
        </w:trPr>
        <w:tc>
          <w:tcPr>
            <w:tcW w:w="4927" w:type="dxa"/>
            <w:vAlign w:val="center"/>
            <w:textDirection w:val="lrTb"/>
            <w:noWrap w:val="false"/>
          </w:tcPr>
          <w:p>
            <w:pPr>
              <w:pStyle w:val="900"/>
              <w:jc w:val="left"/>
              <w:rPr>
                <w:highlight w:val="none"/>
                <w:vertAlign w:val="baseline"/>
              </w:rPr>
            </w:pPr>
            <w:r>
              <w:rPr>
                <w:highlight w:val="none"/>
                <w:vertAlign w:val="baseline"/>
              </w:rPr>
            </w:r>
            <w:r/>
          </w:p>
        </w:tc>
        <w:tc>
          <w:tcPr>
            <w:tcW w:w="4927" w:type="dxa"/>
            <w:vAlign w:val="center"/>
            <w:textDirection w:val="lrTb"/>
            <w:noWrap w:val="false"/>
          </w:tcPr>
          <w:p>
            <w:pPr>
              <w:pStyle w:val="904"/>
              <w:ind w:left="0" w:firstLine="420"/>
              <w:jc w:val="left"/>
              <w:rPr>
                <w:highlight w:val="none"/>
                <w:vertAlign w:val="baseline"/>
              </w:rPr>
            </w:pPr>
            <w:r>
              <w:rPr>
                <w:rFonts w:hint="eastAsia" w:ascii="宋体" w:hAnsi="宋体" w:eastAsia="Arial" w:cs="Times New Roman"/>
                <w:b w:val="0"/>
                <w:bCs w:val="0"/>
                <w:szCs w:val="21"/>
                <w:highlight w:val="none"/>
                <w:u w:val="none"/>
              </w:rPr>
              <w:t xml:space="preserve">银行账号:</w:t>
            </w:r>
            <w:r/>
          </w:p>
        </w:tc>
      </w:tr>
    </w:tbl>
    <w:p>
      <w:pPr>
        <w:pStyle w:val="900"/>
        <w:jc w:val="left"/>
        <w:rPr>
          <w:highlight w:val="none"/>
        </w:rPr>
      </w:pPr>
      <w:r>
        <w:rPr>
          <w:highlight w:val="none"/>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pStyle w:val="904"/>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pStyle w:val="868"/>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4"/>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80"/>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880"/>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5"/>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99"/>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884"/>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4"/>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80"/>
        <w:spacing w:after="0" w:line="400" w:lineRule="exact"/>
        <w:rPr>
          <w:rFonts w:ascii="宋体" w:hAnsi="宋体"/>
          <w:b/>
          <w:bCs/>
          <w:sz w:val="24"/>
          <w:szCs w:val="24"/>
          <w:highlight w:val="none"/>
        </w:rP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99"/>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99"/>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9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19.解决争议的方法</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80"/>
        <w:ind w:firstLine="42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21.法律适用</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9"/>
        <w:ind w:firstLine="420"/>
        <w:jc w:val="both"/>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868"/>
        <w:jc w:val="center"/>
        <w:spacing w:line="400" w:lineRule="exact"/>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7"/>
      <w:r/>
      <w:r/>
    </w:p>
    <w:tbl>
      <w:tblPr>
        <w:tblStyle w:val="65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highlight w:val="none"/>
              </w:rPr>
            </w:pPr>
            <w:r>
              <w:rPr>
                <w:rFonts w:hint="eastAsia"/>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rFonts w:hint="eastAsia" w:eastAsia="宋体"/>
                <w:highlight w:val="none"/>
                <w:lang w:eastAsia="zh-CN"/>
              </w:rPr>
            </w:pPr>
            <w:r>
              <w:rPr>
                <w:rFonts w:hint="eastAsia"/>
                <w:highlight w:val="none"/>
                <w:lang w:eastAsia="zh-CN"/>
              </w:rPr>
              <w:t xml:space="preserve">连云港市公安局</w:t>
            </w:r>
            <w:r/>
          </w:p>
        </w:tc>
      </w:tr>
      <w:tr>
        <w:trPr>
          <w:jc w:val="cente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highlight w:val="none"/>
              </w:rPr>
            </w:pPr>
            <w:r>
              <w:rPr>
                <w:rFonts w:hint="eastAsia"/>
                <w:highlight w:val="non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highlight w:val="none"/>
              </w:rP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货物质量缺陷</w:t>
            </w:r>
            <w:r/>
          </w:p>
          <w:p>
            <w:pPr>
              <w:jc w:val="center"/>
              <w:rPr>
                <w:rFonts w:ascii="宋体" w:hAnsi="宋体"/>
                <w:szCs w:val="21"/>
                <w:highlight w:val="none"/>
              </w:rP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乙方在接到甲方通知后在</w:t>
            </w:r>
            <w:r>
              <w:rPr>
                <w:rFonts w:hint="eastAsia" w:ascii="宋体" w:hAnsi="宋体"/>
                <w:szCs w:val="21"/>
                <w:highlight w:val="none"/>
                <w:lang w:val="en-US" w:eastAsia="zh-CN"/>
              </w:rPr>
              <w:t xml:space="preserve">1</w:t>
            </w:r>
            <w:r>
              <w:rPr>
                <w:rFonts w:ascii="宋体" w:hAnsi="宋体"/>
                <w:szCs w:val="21"/>
                <w:highlight w:val="none"/>
              </w:rPr>
              <w:t xml:space="preserve">小时内到达甲方现场</w:t>
            </w:r>
            <w:r>
              <w:rPr>
                <w:rFonts w:hint="eastAsia" w:ascii="宋体" w:hAnsi="宋体"/>
                <w:szCs w:val="21"/>
                <w:highlight w:val="none"/>
                <w:lang w:eastAsia="zh-CN"/>
              </w:rPr>
              <w:t xml:space="preserve">，旧设备需要送修时，在4小时内完成新设备免费更换</w:t>
            </w:r>
            <w:r>
              <w:rPr>
                <w:rFonts w:hint="eastAsia" w:ascii="宋体" w:hAnsi="宋体"/>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899"/>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both"/>
              <w:rPr>
                <w:rFonts w:ascii="宋体" w:hAnsi="宋体"/>
                <w:szCs w:val="21"/>
                <w:highlight w:val="none"/>
              </w:rPr>
            </w:pPr>
            <w:r>
              <w:rPr>
                <w:rFonts w:ascii="宋体" w:hAnsi="宋体"/>
                <w:szCs w:val="21"/>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履约保证金不予退还的情形</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Times New Roman" w:hAnsi="Times New Roman"/>
                <w:szCs w:val="21"/>
                <w:highlight w:val="none"/>
              </w:rPr>
              <w:t xml:space="preserve">本项目无</w:t>
            </w:r>
            <w:r>
              <w:rPr>
                <w:rFonts w:ascii="Times New Roman" w:hAnsi="Times New Roman"/>
                <w:szCs w:val="21"/>
                <w:highlight w:val="none"/>
              </w:rPr>
              <w:t xml:space="preserve">‌</w:t>
            </w:r>
            <w:r>
              <w:rPr>
                <w:rFonts w:hint="eastAsia" w:ascii="宋体" w:hAnsi="宋体"/>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履约保证金退还时间及逾期退还的违约金</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Times New Roman" w:hAnsi="Times New Roman"/>
                <w:szCs w:val="21"/>
                <w:highlight w:val="none"/>
              </w:rPr>
              <w:t xml:space="preserve">本项目无</w:t>
            </w:r>
            <w:r>
              <w:rPr>
                <w:rFonts w:ascii="Times New Roman" w:hAnsi="Times New Roman"/>
                <w:szCs w:val="21"/>
                <w:highlight w:val="none"/>
              </w:rPr>
              <w:t xml:space="preserve">‌</w:t>
            </w:r>
            <w:r>
              <w:rPr>
                <w:rFonts w:hint="eastAsia" w:ascii="宋体" w:hAnsi="宋体"/>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详见</w:t>
            </w:r>
            <w:r>
              <w:rPr>
                <w:rFonts w:hint="eastAsia" w:ascii="宋体" w:hAnsi="宋体"/>
                <w:szCs w:val="21"/>
                <w:highlight w:val="none"/>
                <w:lang w:val="en-US" w:eastAsia="zh-CN"/>
              </w:rPr>
              <w:t xml:space="preserve">招标文件</w:t>
            </w:r>
            <w:r>
              <w:rPr>
                <w:rFonts w:hint="eastAsia" w:ascii="宋体" w:hAnsi="宋体"/>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both"/>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如乙方未在</w:t>
            </w:r>
            <w:r>
              <w:rPr>
                <w:rFonts w:hint="eastAsia" w:ascii="宋体" w:hAnsi="宋体"/>
                <w:szCs w:val="21"/>
                <w:highlight w:val="none"/>
              </w:rPr>
              <w:t xml:space="preserve">项目地成立固定的服务团队（专班），</w:t>
            </w:r>
            <w:r>
              <w:rPr>
                <w:rFonts w:hint="eastAsia" w:ascii="宋体" w:hAnsi="宋体"/>
                <w:szCs w:val="21"/>
                <w:highlight w:val="none"/>
                <w:lang w:val="en-US" w:eastAsia="zh-CN"/>
              </w:rPr>
              <w:t xml:space="preserve">或</w:t>
            </w:r>
            <w:r>
              <w:rPr>
                <w:rFonts w:hint="eastAsia" w:ascii="宋体" w:hAnsi="宋体"/>
                <w:szCs w:val="21"/>
                <w:highlight w:val="none"/>
              </w:rPr>
              <w:t xml:space="preserve">质保期内发现由于材料、设备或工艺不良造成设备故障时，</w:t>
            </w:r>
            <w:r>
              <w:rPr>
                <w:rFonts w:hint="eastAsia" w:ascii="宋体" w:hAnsi="宋体"/>
                <w:szCs w:val="21"/>
                <w:highlight w:val="none"/>
                <w:lang w:val="en-US" w:eastAsia="zh-CN"/>
              </w:rPr>
              <w:t xml:space="preserve">甲方</w:t>
            </w:r>
            <w:r>
              <w:rPr>
                <w:rFonts w:hint="eastAsia" w:ascii="宋体" w:hAnsi="宋体"/>
                <w:szCs w:val="21"/>
                <w:highlight w:val="none"/>
              </w:rPr>
              <w:t xml:space="preserve">发出服务通知（包含文字通知、口头通知等形式），1小时内技术人员</w:t>
            </w:r>
            <w:r>
              <w:rPr>
                <w:rFonts w:hint="eastAsia" w:ascii="宋体" w:hAnsi="宋体"/>
                <w:szCs w:val="21"/>
                <w:highlight w:val="none"/>
                <w:lang w:val="en-US" w:eastAsia="zh-CN"/>
              </w:rPr>
              <w:t xml:space="preserve">未能</w:t>
            </w:r>
            <w:r>
              <w:rPr>
                <w:rFonts w:hint="eastAsia" w:ascii="宋体" w:hAnsi="宋体"/>
                <w:szCs w:val="21"/>
                <w:highlight w:val="none"/>
              </w:rPr>
              <w:t xml:space="preserve">到场迅速修复</w:t>
            </w:r>
            <w:r>
              <w:rPr>
                <w:rFonts w:hint="eastAsia" w:ascii="宋体" w:hAnsi="宋体"/>
                <w:szCs w:val="21"/>
                <w:highlight w:val="none"/>
                <w:lang w:val="en-US" w:eastAsia="zh-CN"/>
              </w:rPr>
              <w:t xml:space="preserve">或</w:t>
            </w:r>
            <w:r>
              <w:rPr>
                <w:rFonts w:hint="eastAsia" w:ascii="宋体" w:hAnsi="宋体"/>
                <w:szCs w:val="21"/>
                <w:highlight w:val="none"/>
              </w:rPr>
              <w:t xml:space="preserve">旧设备需要送修时，</w:t>
            </w:r>
            <w:r>
              <w:rPr>
                <w:rFonts w:hint="eastAsia" w:ascii="宋体" w:hAnsi="宋体"/>
                <w:szCs w:val="21"/>
                <w:highlight w:val="none"/>
                <w:lang w:val="en-US" w:eastAsia="zh-CN"/>
              </w:rPr>
              <w:t xml:space="preserve">未能</w:t>
            </w:r>
            <w:r>
              <w:rPr>
                <w:rFonts w:hint="eastAsia" w:ascii="宋体" w:hAnsi="宋体"/>
                <w:szCs w:val="21"/>
                <w:highlight w:val="none"/>
              </w:rPr>
              <w:t xml:space="preserve">在4小时内完成新设备免费更换</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导致甲方损失的，乙方按实赔偿甲方损失，同时每延迟一天交付</w:t>
            </w:r>
            <w:r>
              <w:rPr>
                <w:rFonts w:ascii="宋体" w:hAnsi="宋体"/>
                <w:szCs w:val="21"/>
                <w:highlight w:val="none"/>
              </w:rPr>
              <w:t xml:space="preserve">按照合同金额1‰向甲方支付</w:t>
            </w:r>
            <w:r>
              <w:rPr>
                <w:rFonts w:hint="eastAsia" w:ascii="宋体" w:hAnsi="宋体"/>
                <w:szCs w:val="21"/>
                <w:highlight w:val="none"/>
                <w:lang w:val="en-US" w:eastAsia="zh-CN"/>
              </w:rPr>
              <w:t xml:space="preserve">违约金，本项</w:t>
            </w:r>
            <w:r>
              <w:rPr>
                <w:rFonts w:ascii="宋体" w:hAnsi="宋体"/>
                <w:szCs w:val="21"/>
                <w:highlight w:val="none"/>
              </w:rPr>
              <w:t xml:space="preserve">违约金总额不超过合同总额的1%。</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both"/>
              <w:rPr>
                <w:rFonts w:ascii="宋体" w:hAnsi="宋体"/>
                <w:szCs w:val="21"/>
                <w:highlight w:val="none"/>
              </w:rPr>
            </w:pPr>
            <w:r>
              <w:rPr>
                <w:rFonts w:hint="eastAsia" w:ascii="宋体" w:hAnsi="宋体"/>
                <w:szCs w:val="21"/>
                <w:highlight w:val="none"/>
                <w:lang w:val="en-US" w:eastAsia="zh-CN"/>
              </w:rPr>
              <w:t xml:space="preserve">1.</w:t>
            </w:r>
            <w:r>
              <w:rPr>
                <w:rFonts w:ascii="宋体" w:hAnsi="宋体"/>
                <w:szCs w:val="21"/>
                <w:highlight w:val="none"/>
              </w:rPr>
              <w:t xml:space="preserve">《中华人民共和国产品质量法》第四十条</w:t>
            </w:r>
            <w:r/>
          </w:p>
          <w:p>
            <w:pPr>
              <w:jc w:val="both"/>
              <w:rPr>
                <w:rFonts w:ascii="宋体" w:hAnsi="宋体"/>
                <w:szCs w:val="21"/>
                <w:highlight w:val="none"/>
              </w:rPr>
            </w:pPr>
            <w:r>
              <w:rPr>
                <w:rFonts w:hint="eastAsia" w:ascii="宋体" w:hAnsi="宋体"/>
                <w:szCs w:val="21"/>
                <w:highlight w:val="none"/>
                <w:lang w:val="en-US" w:eastAsia="zh-CN"/>
              </w:rPr>
              <w:t xml:space="preserve">2.如因乙方未提供备品备件或者备品备件无法代替原货物使用导致甲方损失的，乙方按实赔偿甲方损失，同时每延迟一天交付</w:t>
            </w:r>
            <w:r>
              <w:rPr>
                <w:rFonts w:ascii="宋体" w:hAnsi="宋体"/>
                <w:szCs w:val="21"/>
                <w:highlight w:val="none"/>
              </w:rPr>
              <w:t xml:space="preserve">按照合同金额1‰向甲方支付</w:t>
            </w:r>
            <w:r>
              <w:rPr>
                <w:rFonts w:hint="eastAsia" w:ascii="宋体" w:hAnsi="宋体"/>
                <w:szCs w:val="21"/>
                <w:highlight w:val="none"/>
                <w:lang w:val="en-US" w:eastAsia="zh-CN"/>
              </w:rPr>
              <w:t xml:space="preserve">违约金，本项</w:t>
            </w:r>
            <w:r>
              <w:rPr>
                <w:rFonts w:ascii="宋体" w:hAnsi="宋体"/>
                <w:szCs w:val="21"/>
                <w:highlight w:val="none"/>
              </w:rPr>
              <w:t xml:space="preserve">违约金总额不超过合同总额的1%。</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rPr>
              <w:t xml:space="preserve">每延迟一天交付，按照合同金额1‰向甲方支付逾期交付违约金，</w:t>
            </w:r>
            <w:r>
              <w:rPr>
                <w:rFonts w:hint="eastAsia" w:ascii="宋体" w:hAnsi="宋体"/>
                <w:szCs w:val="21"/>
                <w:highlight w:val="none"/>
                <w:lang w:val="en-US" w:eastAsia="zh-CN"/>
              </w:rPr>
              <w:t xml:space="preserve">本项</w:t>
            </w:r>
            <w:r>
              <w:rPr>
                <w:rFonts w:ascii="宋体" w:hAnsi="宋体"/>
                <w:szCs w:val="21"/>
                <w:highlight w:val="none"/>
              </w:rPr>
              <w:t xml:space="preserve">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none"/>
                <w:u w:val="single"/>
              </w:rP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其他违约责任</w:t>
            </w:r>
            <w:r/>
          </w:p>
        </w:tc>
        <w:tc>
          <w:tcPr>
            <w:shd w:val="clear" w:color="auto" w:fill="auto"/>
            <w:tcW w:w="5170" w:type="dxa"/>
            <w:vAlign w:val="center"/>
            <w:textDirection w:val="lrTb"/>
            <w:noWrap w:val="false"/>
          </w:tcPr>
          <w:p>
            <w:pPr>
              <w:jc w:val="center"/>
              <w:rPr>
                <w:rFonts w:ascii="宋体" w:hAnsi="宋体"/>
                <w:szCs w:val="21"/>
                <w:highlight w:val="none"/>
                <w:u w:val="single"/>
              </w:rPr>
            </w:pPr>
            <w:r>
              <w:rPr>
                <w:rFonts w:hint="eastAsia" w:ascii="宋体" w:hAnsi="宋体"/>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因本合同及合同有关事项发生的争议，按下列第（2）种方式解决：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Pr>
            <w:r>
              <w:rPr>
                <w:rFonts w:hint="eastAsia" w:ascii="宋体" w:hAnsi="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jc w:val="left"/>
        <w:widowControl/>
        <w:rPr>
          <w:rFonts w:ascii="宋体" w:hAnsi="宋体"/>
          <w:szCs w:val="21"/>
          <w:highlight w:val="none"/>
        </w:rPr>
      </w:pPr>
      <w:r>
        <w:rPr>
          <w:rFonts w:ascii="宋体" w:hAnsi="宋体"/>
          <w:szCs w:val="21"/>
          <w:highlight w:val="none"/>
        </w:rPr>
        <w:br w:type="page" w:clear="all"/>
      </w:r>
      <w:r/>
    </w:p>
    <w:p>
      <w:pPr>
        <w:pStyle w:val="867"/>
        <w:jc w:val="center"/>
        <w:spacing w:line="360" w:lineRule="auto"/>
        <w:rPr>
          <w:rFonts w:ascii="黑体" w:hAnsi="黑体" w:eastAsia="黑体"/>
          <w:b w:val="0"/>
          <w:highlight w:val="none"/>
        </w:rP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ascii="宋体" w:hAnsi="宋体"/>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sz w:val="24"/>
          <w:szCs w:val="24"/>
          <w:highlight w:val="none"/>
        </w:rP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678"/>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829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shd w:val="clear" w:color="auto" w:fill="auto"/>
            <w:tcBorders>
              <w:top w:val="single" w:color="auto" w:sz="4" w:space="0"/>
            </w:tcBorders>
            <w:tcW w:w="806" w:type="dxa"/>
            <w:vAlign w:val="center"/>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shd w:val="clear" w:color="auto" w:fill="auto"/>
            <w:tcBorders>
              <w:top w:val="single" w:color="auto" w:sz="4" w:space="0"/>
            </w:tcBorders>
            <w:tcW w:w="8295" w:type="dxa"/>
            <w:vAlign w:val="top"/>
            <w:textDirection w:val="lrTb"/>
            <w:noWrap w:val="false"/>
          </w:tcPr>
          <w:p>
            <w:pPr>
              <w:jc w:val="left"/>
              <w:spacing w:line="360" w:lineRule="auto"/>
              <w:rPr>
                <w:rFonts w:ascii="Calibri" w:hAnsi="Calibri" w:eastAsia="宋体" w:cs="Times New Roman"/>
                <w:b/>
                <w:bCs/>
                <w:i/>
                <w:iCs/>
                <w:sz w:val="24"/>
                <w:szCs w:val="24"/>
                <w:highlight w:val="none"/>
                <w:u w:val="single"/>
                <w:lang w:val="en-US" w:eastAsia="zh-CN" w:bidi="ar-SA"/>
              </w:rPr>
            </w:pPr>
            <w:r>
              <w:rPr>
                <w:rFonts w:hint="eastAsia" w:ascii="宋体" w:hAnsi="宋体"/>
                <w:b/>
                <w:bCs/>
                <w:i/>
                <w:iCs/>
                <w:color w:val="auto"/>
                <w:sz w:val="24"/>
                <w:szCs w:val="24"/>
                <w:highlight w:val="none"/>
                <w:u w:val="single"/>
                <w:lang w:eastAsia="zh-CN"/>
              </w:rPr>
              <w:t xml:space="preserve">合同签订后30天内完成安装调试，达到预期效果。</w:t>
            </w:r>
            <w:r/>
          </w:p>
        </w:tc>
      </w:tr>
      <w:tr>
        <w:trPr>
          <w:jc w:val="center"/>
        </w:trPr>
        <w:tc>
          <w:tcPr>
            <w:shd w:val="clear" w:color="auto" w:fill="auto"/>
            <w:tcBorders>
              <w:top w:val="single" w:color="auto" w:sz="4" w:space="0"/>
            </w:tcBorders>
            <w:tcW w:w="806" w:type="dxa"/>
            <w:vAlign w:val="center"/>
            <w:textDirection w:val="lrTb"/>
            <w:noWrap w:val="false"/>
          </w:tcPr>
          <w:p>
            <w:pPr>
              <w:jc w:val="center"/>
              <w:spacing w:line="500" w:lineRule="exact"/>
              <w:rPr>
                <w:rFonts w:hint="eastAsia" w:ascii="Calibri" w:hAnsi="Calibri" w:eastAsia="宋体" w:cs="Times New Roman"/>
                <w:sz w:val="24"/>
                <w:szCs w:val="24"/>
                <w:highlight w:val="none"/>
                <w:lang w:val="en-US" w:eastAsia="zh-CN" w:bidi="ar-SA"/>
              </w:rPr>
            </w:pPr>
            <w:r>
              <w:rPr>
                <w:rFonts w:hint="eastAsia"/>
                <w:sz w:val="24"/>
                <w:szCs w:val="24"/>
                <w:highlight w:val="none"/>
              </w:rPr>
              <w:t xml:space="preserve">2</w:t>
            </w:r>
            <w:r/>
          </w:p>
        </w:tc>
        <w:tc>
          <w:tcPr>
            <w:shd w:val="clear" w:color="auto" w:fill="auto"/>
            <w:tcBorders>
              <w:top w:val="single" w:color="auto" w:sz="4" w:space="0"/>
            </w:tcBorders>
            <w:tcW w:w="8295" w:type="dxa"/>
            <w:vAlign w:val="top"/>
            <w:textDirection w:val="lrTb"/>
            <w:noWrap w:val="false"/>
          </w:tcPr>
          <w:p>
            <w:pPr>
              <w:jc w:val="left"/>
              <w:spacing w:line="360" w:lineRule="auto"/>
              <w:rPr>
                <w:rFonts w:hint="eastAsia" w:ascii="宋体" w:hAnsi="宋体"/>
                <w:b/>
                <w:bCs/>
                <w:i/>
                <w:iCs/>
                <w:color w:val="auto"/>
                <w:sz w:val="24"/>
                <w:szCs w:val="24"/>
                <w:highlight w:val="none"/>
                <w:u w:val="single"/>
                <w:lang w:eastAsia="zh-CN"/>
              </w:rPr>
            </w:pPr>
            <w:r>
              <w:rPr>
                <w:rFonts w:hint="eastAsia" w:ascii="宋体" w:hAnsi="宋体"/>
                <w:b/>
                <w:bCs/>
                <w:i/>
                <w:iCs/>
                <w:sz w:val="24"/>
                <w:szCs w:val="24"/>
                <w:highlight w:val="none"/>
                <w:u w:val="single"/>
                <w:lang w:val="en-US" w:eastAsia="zh-CN"/>
              </w:rPr>
              <w:t xml:space="preserve">供应商提供至少1套与采购标的相同的备品备件存放于项目所在地或采购人指定的地址，如出现采购标的货物设备故障无法立即修复时可替代投入使用。（供应商提供承诺书，格式自拟并详细列出备件清单，包括品名、型号、规格、照片）</w:t>
            </w:r>
            <w:r/>
          </w:p>
        </w:tc>
      </w:tr>
      <w:tr>
        <w:trPr>
          <w:jc w:val="center"/>
        </w:trPr>
        <w:tc>
          <w:tcPr>
            <w:shd w:val="clear" w:color="auto" w:fill="auto"/>
            <w:tcW w:w="806" w:type="dxa"/>
            <w:vAlign w:val="center"/>
            <w:textDirection w:val="lrTb"/>
            <w:noWrap w:val="false"/>
          </w:tcPr>
          <w:p>
            <w:pPr>
              <w:jc w:val="center"/>
              <w:spacing w:line="500" w:lineRule="exact"/>
              <w:rPr>
                <w:rFonts w:hint="default" w:ascii="Calibri" w:hAnsi="Calibri" w:eastAsia="宋体" w:cs="Times New Roman"/>
                <w:sz w:val="24"/>
                <w:szCs w:val="24"/>
                <w:highlight w:val="none"/>
                <w:lang w:val="en-US" w:eastAsia="zh-CN" w:bidi="ar-SA"/>
              </w:rPr>
            </w:pPr>
            <w:r>
              <w:rPr>
                <w:rFonts w:hint="eastAsia"/>
                <w:sz w:val="24"/>
                <w:szCs w:val="24"/>
                <w:highlight w:val="none"/>
              </w:rPr>
              <w:t xml:space="preserve">3</w:t>
            </w:r>
            <w:r/>
          </w:p>
        </w:tc>
        <w:tc>
          <w:tcPr>
            <w:shd w:val="clear" w:color="auto" w:fill="auto"/>
            <w:tcW w:w="8295" w:type="dxa"/>
            <w:vAlign w:val="top"/>
            <w:textDirection w:val="lrTb"/>
            <w:noWrap w:val="false"/>
          </w:tcPr>
          <w:p>
            <w:pPr>
              <w:jc w:val="left"/>
              <w:spacing w:line="360" w:lineRule="auto"/>
              <w:rPr>
                <w:rFonts w:ascii="Calibri" w:hAnsi="Calibri" w:eastAsia="宋体" w:cs="Times New Roman"/>
                <w:b/>
                <w:bCs/>
                <w:i/>
                <w:iCs/>
                <w:sz w:val="24"/>
                <w:szCs w:val="24"/>
                <w:highlight w:val="none"/>
                <w:u w:val="single"/>
                <w:lang w:val="en-US" w:eastAsia="zh-CN" w:bidi="ar-SA"/>
              </w:rPr>
            </w:pPr>
            <w:r>
              <w:rPr>
                <w:rFonts w:hint="eastAsia" w:ascii="宋体" w:hAnsi="宋体"/>
                <w:b/>
                <w:bCs/>
                <w:i/>
                <w:iCs/>
                <w:color w:val="auto"/>
                <w:sz w:val="24"/>
                <w:szCs w:val="24"/>
                <w:highlight w:val="none"/>
                <w:u w:val="single"/>
              </w:rPr>
              <w:t xml:space="preserve">设备安装调试经验收合格后，经审计票据齐全后一次性支付至审计金额的100%。</w:t>
            </w:r>
            <w:r/>
          </w:p>
        </w:tc>
      </w:tr>
      <w:tr>
        <w:trPr>
          <w:jc w:val="center"/>
        </w:trPr>
        <w:tc>
          <w:tcPr>
            <w:shd w:val="clear" w:color="auto" w:fill="auto"/>
            <w:tcW w:w="806" w:type="dxa"/>
            <w:vAlign w:val="center"/>
            <w:textDirection w:val="lrTb"/>
            <w:noWrap w:val="false"/>
          </w:tcPr>
          <w:p>
            <w:pPr>
              <w:jc w:val="center"/>
              <w:spacing w:line="500" w:lineRule="exact"/>
              <w:rPr>
                <w:rFonts w:hint="eastAsia" w:ascii="Calibri" w:hAnsi="Calibri" w:eastAsia="宋体" w:cs="Times New Roman"/>
                <w:color w:val="auto"/>
                <w:sz w:val="24"/>
                <w:szCs w:val="24"/>
                <w:highlight w:val="none"/>
                <w:lang w:val="en-US" w:eastAsia="zh-CN" w:bidi="ar-SA"/>
              </w:rPr>
            </w:pPr>
            <w:r>
              <w:rPr>
                <w:rFonts w:hint="eastAsia"/>
                <w:color w:val="auto"/>
                <w:sz w:val="24"/>
                <w:szCs w:val="24"/>
                <w:highlight w:val="none"/>
                <w:lang w:val="en-US" w:eastAsia="zh-CN"/>
              </w:rPr>
              <w:t xml:space="preserve">4</w:t>
            </w:r>
            <w:r/>
          </w:p>
        </w:tc>
        <w:tc>
          <w:tcPr>
            <w:shd w:val="clear" w:color="auto" w:fill="auto"/>
            <w:tcW w:w="8295" w:type="dxa"/>
            <w:vAlign w:val="top"/>
            <w:textDirection w:val="lrTb"/>
            <w:noWrap w:val="false"/>
          </w:tcPr>
          <w:p>
            <w:pPr>
              <w:numPr>
                <w:ilvl w:val="0"/>
                <w:numId w:val="0"/>
              </w:numPr>
              <w:ind w:left="0" w:firstLine="0"/>
              <w:jc w:val="left"/>
              <w:spacing w:line="360" w:lineRule="auto"/>
              <w:widowControl/>
              <w:rPr>
                <w:rFonts w:ascii="宋体" w:hAnsi="宋体" w:eastAsia="宋体" w:cs="宋体"/>
                <w:b/>
                <w:bCs/>
                <w:i/>
                <w:iCs/>
                <w:color w:val="auto"/>
                <w:sz w:val="24"/>
                <w:szCs w:val="24"/>
                <w:highlight w:val="none"/>
                <w:u w:val="single"/>
                <w:lang w:val="en-US" w:eastAsia="zh-CN" w:bidi="ar-SA"/>
              </w:rPr>
            </w:pPr>
            <w:r>
              <w:rPr>
                <w:rFonts w:hint="eastAsia" w:ascii="宋体" w:hAnsi="宋体"/>
                <w:b/>
                <w:bCs/>
                <w:i/>
                <w:iCs/>
                <w:color w:val="auto"/>
                <w:sz w:val="24"/>
                <w:szCs w:val="24"/>
                <w:highlight w:val="none"/>
                <w:u w:val="single"/>
                <w:lang w:val="en-US" w:eastAsia="zh-CN"/>
              </w:rPr>
              <w:t xml:space="preserve">供应商中标后应在项目地成立固定的服务团队（专班）并在合同签订前提供相关服务团队资料（包括团队负责人、成员名单、联系方式、2025年6月至今任意1个月的社保证明、常驻办公地址证明或租赁合同），质保期内，发现由于材料、设备或工艺不良造成设备故障时，采购人发出服务通知（包含文字通知、口头通知等形式），1小时内技术人员到场迅速修复，旧设备需要送修时，应在4小时内完成新设备免费更换。（供应商提供承诺书，格式自拟）</w:t>
            </w:r>
            <w:r/>
          </w:p>
        </w:tc>
      </w:tr>
      <w:tr>
        <w:trPr>
          <w:jc w:val="center"/>
        </w:trPr>
        <w:tc>
          <w:tcPr>
            <w:shd w:val="clear" w:color="auto" w:fill="auto"/>
            <w:tcW w:w="806" w:type="dxa"/>
            <w:vAlign w:val="center"/>
            <w:textDirection w:val="lrTb"/>
            <w:noWrap w:val="false"/>
          </w:tcPr>
          <w:p>
            <w:pPr>
              <w:jc w:val="center"/>
              <w:spacing w:line="50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5</w:t>
            </w:r>
            <w:r/>
          </w:p>
        </w:tc>
        <w:tc>
          <w:tcPr>
            <w:shd w:val="clear" w:color="auto" w:fill="auto"/>
            <w:tcW w:w="8295" w:type="dxa"/>
            <w:vAlign w:val="top"/>
            <w:textDirection w:val="lrTb"/>
            <w:noWrap w:val="false"/>
          </w:tcPr>
          <w:p>
            <w:pPr>
              <w:jc w:val="left"/>
              <w:spacing w:line="360" w:lineRule="auto"/>
              <w:rPr>
                <w:rFonts w:hint="eastAsia" w:ascii="宋体" w:hAnsi="宋体" w:eastAsia="宋体" w:cstheme="minorBidi"/>
                <w:b/>
                <w:bCs/>
                <w:i/>
                <w:iCs/>
                <w:color w:val="auto"/>
                <w:sz w:val="24"/>
                <w:highlight w:val="none"/>
                <w:u w:val="single"/>
              </w:rPr>
            </w:pPr>
            <w:r>
              <w:rPr>
                <w:rFonts w:hint="eastAsia" w:ascii="宋体" w:hAnsi="宋体"/>
                <w:b/>
                <w:bCs/>
                <w:i/>
                <w:iCs/>
                <w:color w:val="auto"/>
                <w:sz w:val="24"/>
                <w:szCs w:val="24"/>
                <w:highlight w:val="none"/>
                <w:u w:val="single"/>
                <w:lang w:eastAsia="zh-CN"/>
              </w:rPr>
              <w:t xml:space="preserve">质保期不少于3年</w:t>
            </w:r>
            <w:r>
              <w:rPr>
                <w:rFonts w:hint="eastAsia" w:ascii="宋体" w:hAnsi="宋体"/>
                <w:b/>
                <w:bCs/>
                <w:i/>
                <w:iCs/>
                <w:color w:val="auto"/>
                <w:sz w:val="24"/>
                <w:szCs w:val="24"/>
                <w:highlight w:val="none"/>
                <w:u w:val="single"/>
              </w:rPr>
              <w:t xml:space="preserve">。</w:t>
            </w:r>
            <w:r/>
          </w:p>
        </w:tc>
      </w:tr>
    </w:tbl>
    <w:p>
      <w:pPr>
        <w:ind w:firstLine="480"/>
        <w:jc w:val="left"/>
        <w:spacing w:line="500" w:lineRule="exact"/>
        <w:rPr>
          <w:rFonts w:ascii="Times New Roman" w:hAnsi="Times New Roman"/>
          <w:b/>
          <w:color w:val="auto"/>
          <w:sz w:val="28"/>
          <w:szCs w:val="28"/>
          <w:highlight w:val="none"/>
        </w:rPr>
      </w:pPr>
      <w:r>
        <w:rPr>
          <w:rFonts w:hint="eastAsia"/>
          <w:color w:val="auto"/>
          <w:sz w:val="24"/>
          <w:szCs w:val="24"/>
          <w:highlight w:val="none"/>
        </w:rPr>
        <w:t xml:space="preserve">3、本项目核心产品为：</w:t>
      </w:r>
      <w:r>
        <w:rPr>
          <w:rFonts w:hint="eastAsia" w:eastAsia="宋体" w:cs="宋体" w:asciiTheme="minorEastAsia" w:hAnsiTheme="minorEastAsia"/>
          <w:color w:val="auto"/>
          <w:sz w:val="24"/>
          <w:highlight w:val="none"/>
          <w:u w:val="single"/>
        </w:rPr>
        <w:t xml:space="preserve">无人机精准反制设备</w:t>
      </w:r>
      <w:r>
        <w:rPr>
          <w:rFonts w:hint="eastAsia"/>
          <w:color w:val="auto"/>
          <w:sz w:val="24"/>
          <w:szCs w:val="24"/>
          <w:highlight w:val="none"/>
        </w:rPr>
        <w:t xml:space="preserve">。</w:t>
      </w:r>
      <w:r/>
    </w:p>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rFonts w:hint="eastAsia" w:ascii="宋体" w:hAnsi="宋体" w:eastAsia="宋体"/>
          <w:color w:val="auto"/>
          <w:sz w:val="24"/>
          <w:szCs w:val="24"/>
          <w:highlight w:val="none"/>
          <w:lang w:eastAsia="zh-CN"/>
        </w:rPr>
      </w:pPr>
      <w:r>
        <w:rPr>
          <w:rFonts w:hint="eastAsia"/>
          <w:color w:val="auto"/>
          <w:sz w:val="24"/>
          <w:szCs w:val="24"/>
          <w:highlight w:val="none"/>
          <w:lang w:eastAsia="zh-CN"/>
        </w:rPr>
        <w:t xml:space="preserve">主要为市重点场所提供无人机防护设备搭建采购</w:t>
      </w:r>
      <w:r>
        <w:rPr>
          <w:rFonts w:hint="eastAsia" w:ascii="宋体" w:hAnsi="宋体" w:eastAsia="宋体" w:cs="Helvetica"/>
          <w:color w:val="auto"/>
          <w:sz w:val="24"/>
          <w:szCs w:val="24"/>
          <w:highlight w:val="none"/>
          <w:lang w:val="en-US" w:eastAsia="zh-CN"/>
        </w:rPr>
        <w:t xml:space="preserve">无人机侦测</w:t>
      </w:r>
      <w:r>
        <w:rPr>
          <w:rFonts w:hint="eastAsia" w:ascii="宋体" w:hAnsi="宋体" w:eastAsia="宋体" w:cs="Helvetica"/>
          <w:color w:val="auto"/>
          <w:sz w:val="24"/>
          <w:szCs w:val="24"/>
          <w:highlight w:val="none"/>
        </w:rPr>
        <w:t xml:space="preserve">设备</w:t>
      </w:r>
      <w:r>
        <w:rPr>
          <w:rFonts w:hint="eastAsia"/>
          <w:color w:val="auto"/>
          <w:sz w:val="24"/>
          <w:szCs w:val="24"/>
          <w:highlight w:val="none"/>
          <w:lang w:eastAsia="zh-CN"/>
        </w:rPr>
        <w:t xml:space="preserve">、</w:t>
      </w:r>
      <w:r>
        <w:rPr>
          <w:rFonts w:hint="eastAsia" w:ascii="宋体" w:hAnsi="宋体" w:eastAsia="宋体" w:cs="Helvetica"/>
          <w:color w:val="auto"/>
          <w:sz w:val="24"/>
          <w:szCs w:val="24"/>
          <w:highlight w:val="none"/>
        </w:rPr>
        <w:t xml:space="preserve">无人机精准反制设备</w:t>
      </w:r>
      <w:r>
        <w:rPr>
          <w:rFonts w:hint="eastAsia" w:ascii="宋体" w:hAnsi="宋体" w:eastAsia="宋体" w:cs="Helvetica"/>
          <w:color w:val="auto"/>
          <w:sz w:val="24"/>
          <w:szCs w:val="24"/>
          <w:highlight w:val="none"/>
          <w:lang w:eastAsia="zh-CN"/>
        </w:rPr>
        <w:t xml:space="preserve">、</w:t>
      </w:r>
      <w:r>
        <w:rPr>
          <w:rFonts w:hint="eastAsia" w:ascii="宋体" w:hAnsi="宋体" w:eastAsia="宋体" w:cs="Helvetica"/>
          <w:color w:val="auto"/>
          <w:sz w:val="24"/>
          <w:szCs w:val="24"/>
          <w:highlight w:val="none"/>
          <w:lang w:val="en-US" w:eastAsia="zh-CN"/>
        </w:rPr>
        <w:t xml:space="preserve">手持式无人机侦测定位设备、低空</w:t>
      </w:r>
      <w:r>
        <w:rPr>
          <w:rFonts w:hint="eastAsia" w:ascii="宋体" w:hAnsi="宋体" w:eastAsia="宋体" w:cs="Helvetica"/>
          <w:color w:val="auto"/>
          <w:sz w:val="24"/>
          <w:szCs w:val="24"/>
          <w:highlight w:val="none"/>
        </w:rPr>
        <w:t xml:space="preserve">监管</w:t>
      </w:r>
      <w:r>
        <w:rPr>
          <w:rFonts w:hint="eastAsia" w:ascii="宋体" w:hAnsi="宋体" w:eastAsia="宋体" w:cs="Helvetica"/>
          <w:color w:val="auto"/>
          <w:sz w:val="24"/>
          <w:szCs w:val="24"/>
          <w:highlight w:val="none"/>
          <w:lang w:val="en-US" w:eastAsia="zh-CN"/>
        </w:rPr>
        <w:t xml:space="preserve">平台等设备。</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655"/>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3262"/>
        <w:gridCol w:w="1405"/>
        <w:gridCol w:w="1657"/>
        <w:gridCol w:w="2482"/>
      </w:tblGrid>
      <w:tr>
        <w:trPr>
          <w:jc w:val="center"/>
        </w:trPr>
        <w:tc>
          <w:tcPr>
            <w:tcW w:w="1032" w:type="dxa"/>
            <w:vAlign w:val="center"/>
            <w:textDirection w:val="lrTb"/>
            <w:noWrap w:val="false"/>
          </w:tcPr>
          <w:p>
            <w:pPr>
              <w:jc w:val="center"/>
              <w:spacing w:line="360" w:lineRule="auto"/>
              <w:widowControl/>
              <w:rPr>
                <w:rFonts w:ascii="宋体" w:hAnsi="宋体" w:cs="Helvetica"/>
                <w:color w:val="auto"/>
                <w:sz w:val="24"/>
                <w:szCs w:val="32"/>
                <w:highlight w:val="none"/>
              </w:rPr>
            </w:pPr>
            <w:r/>
            <w:bookmarkStart w:id="9" w:name="_Toc139966432"/>
            <w:r/>
            <w:bookmarkStart w:id="10" w:name="_Toc139967216"/>
            <w:r>
              <w:rPr>
                <w:rFonts w:hint="eastAsia" w:ascii="宋体" w:hAnsi="宋体" w:cs="Helvetica"/>
                <w:color w:val="auto"/>
                <w:sz w:val="24"/>
                <w:szCs w:val="32"/>
                <w:highlight w:val="none"/>
              </w:rPr>
              <w:t xml:space="preserve">序号</w:t>
            </w:r>
            <w:r/>
          </w:p>
        </w:tc>
        <w:tc>
          <w:tcPr>
            <w:tcW w:w="3263"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货物（标的）名称</w:t>
            </w:r>
            <w:r/>
          </w:p>
        </w:tc>
        <w:tc>
          <w:tcPr>
            <w:tcW w:w="1405" w:type="dxa"/>
            <w:vAlign w:val="center"/>
            <w:textDirection w:val="lrTb"/>
            <w:noWrap w:val="false"/>
          </w:tcPr>
          <w:p>
            <w:pPr>
              <w:jc w:val="center"/>
              <w:spacing w:line="360" w:lineRule="auto"/>
              <w:widowControl/>
              <w:rPr>
                <w:rFonts w:ascii="宋体" w:hAnsi="Times New Roman"/>
                <w:color w:val="auto"/>
                <w:sz w:val="24"/>
                <w:szCs w:val="24"/>
                <w:highlight w:val="none"/>
              </w:rPr>
            </w:pPr>
            <w:r>
              <w:rPr>
                <w:rFonts w:hint="eastAsia" w:ascii="Times New Roman" w:hAnsi="Times New Roman"/>
                <w:color w:val="auto"/>
                <w:sz w:val="24"/>
                <w:szCs w:val="24"/>
                <w:highlight w:val="none"/>
              </w:rPr>
              <w:t xml:space="preserve">数量</w:t>
            </w:r>
            <w:r/>
          </w:p>
        </w:tc>
        <w:tc>
          <w:tcPr>
            <w:tcW w:w="1657" w:type="dxa"/>
            <w:vAlign w:val="center"/>
            <w:textDirection w:val="lrTb"/>
            <w:noWrap w:val="false"/>
          </w:tcPr>
          <w:p>
            <w:pPr>
              <w:jc w:val="center"/>
              <w:spacing w:line="360" w:lineRule="auto"/>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单位</w:t>
            </w:r>
            <w:r/>
          </w:p>
        </w:tc>
        <w:tc>
          <w:tcPr>
            <w:tcW w:w="2483" w:type="dxa"/>
            <w:vAlign w:val="center"/>
            <w:textDirection w:val="lrTb"/>
            <w:noWrap w:val="false"/>
          </w:tcPr>
          <w:p>
            <w:pPr>
              <w:jc w:val="center"/>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中小企业划分标准所属行业</w:t>
            </w:r>
            <w:r/>
          </w:p>
        </w:tc>
      </w:tr>
      <w:tr>
        <w:trPr>
          <w:jc w:val="center"/>
          <w:trHeight w:val="567"/>
        </w:trPr>
        <w:tc>
          <w:tcPr>
            <w:tcW w:w="1032"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tcW w:w="3263"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无人机侦测</w:t>
            </w:r>
            <w:r>
              <w:rPr>
                <w:rFonts w:hint="eastAsia" w:ascii="宋体" w:hAnsi="宋体" w:eastAsia="宋体" w:cs="Helvetica"/>
                <w:color w:val="auto"/>
                <w:sz w:val="24"/>
                <w:szCs w:val="24"/>
                <w:highlight w:val="none"/>
              </w:rPr>
              <w:t xml:space="preserve">设备</w:t>
            </w:r>
            <w:r/>
          </w:p>
        </w:tc>
        <w:tc>
          <w:tcPr>
            <w:tcW w:w="1405"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tcW w:w="1657"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套</w:t>
            </w:r>
            <w:r/>
          </w:p>
        </w:tc>
        <w:tc>
          <w:tcPr>
            <w:tcW w:w="2483" w:type="dxa"/>
            <w:vAlign w:val="center"/>
            <w:textDirection w:val="lrTb"/>
            <w:noWrap w:val="false"/>
          </w:tcPr>
          <w:p>
            <w:pPr>
              <w:jc w:val="center"/>
              <w:widowControl/>
              <w:rPr>
                <w:rFonts w:ascii="宋体" w:hAnsi="宋体" w:cs="Helvetica"/>
                <w:color w:val="auto"/>
                <w:sz w:val="24"/>
                <w:szCs w:val="24"/>
                <w:highlight w:val="none"/>
              </w:rPr>
            </w:pPr>
            <w:r>
              <w:rPr>
                <w:rFonts w:hint="eastAsia" w:ascii="宋体" w:hAnsi="宋体" w:cs="Helvetica"/>
                <w:color w:val="auto"/>
                <w:sz w:val="24"/>
                <w:szCs w:val="24"/>
                <w:highlight w:val="none"/>
              </w:rPr>
              <w:t xml:space="preserve">工业</w:t>
            </w:r>
            <w:r/>
          </w:p>
        </w:tc>
      </w:tr>
      <w:tr>
        <w:trPr>
          <w:jc w:val="center"/>
          <w:trHeight w:val="567"/>
        </w:trPr>
        <w:tc>
          <w:tcPr>
            <w:tcW w:w="1032"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2</w:t>
            </w:r>
            <w:r/>
          </w:p>
        </w:tc>
        <w:tc>
          <w:tcPr>
            <w:tcW w:w="3263"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无人机精准反制设备</w:t>
            </w:r>
            <w:r/>
          </w:p>
        </w:tc>
        <w:tc>
          <w:tcPr>
            <w:tcW w:w="1405"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tcW w:w="1657"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套</w:t>
            </w:r>
            <w:r/>
          </w:p>
        </w:tc>
        <w:tc>
          <w:tcPr>
            <w:tcW w:w="2483" w:type="dxa"/>
            <w:vAlign w:val="center"/>
            <w:textDirection w:val="lrTb"/>
            <w:noWrap w:val="false"/>
          </w:tcPr>
          <w:p>
            <w:pPr>
              <w:jc w:val="center"/>
              <w:widowControl/>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工业</w:t>
            </w:r>
            <w:r/>
          </w:p>
        </w:tc>
      </w:tr>
      <w:tr>
        <w:trPr>
          <w:jc w:val="center"/>
          <w:trHeight w:val="567"/>
        </w:trPr>
        <w:tc>
          <w:tcPr>
            <w:tcW w:w="1032"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3</w:t>
            </w:r>
            <w:r/>
          </w:p>
        </w:tc>
        <w:tc>
          <w:tcPr>
            <w:tcW w:w="3263"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手持式无人机侦测定位设备</w:t>
            </w:r>
            <w:r/>
          </w:p>
        </w:tc>
        <w:tc>
          <w:tcPr>
            <w:tcW w:w="1405"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tcW w:w="1657"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套</w:t>
            </w:r>
            <w:r/>
          </w:p>
        </w:tc>
        <w:tc>
          <w:tcPr>
            <w:tcW w:w="2483" w:type="dxa"/>
            <w:vAlign w:val="center"/>
            <w:textDirection w:val="lrTb"/>
            <w:noWrap w:val="false"/>
          </w:tcPr>
          <w:p>
            <w:pPr>
              <w:jc w:val="center"/>
              <w:widowControl/>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工业</w:t>
            </w:r>
            <w:r/>
          </w:p>
        </w:tc>
      </w:tr>
      <w:tr>
        <w:trPr>
          <w:jc w:val="center"/>
          <w:trHeight w:val="567"/>
        </w:trPr>
        <w:tc>
          <w:tcPr>
            <w:tcW w:w="1032"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4</w:t>
            </w:r>
            <w:r/>
          </w:p>
        </w:tc>
        <w:tc>
          <w:tcPr>
            <w:tcW w:w="3263"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低空</w:t>
            </w:r>
            <w:r>
              <w:rPr>
                <w:rFonts w:hint="eastAsia" w:ascii="宋体" w:hAnsi="宋体" w:eastAsia="宋体" w:cs="Helvetica"/>
                <w:color w:val="auto"/>
                <w:sz w:val="24"/>
                <w:szCs w:val="24"/>
                <w:highlight w:val="none"/>
              </w:rPr>
              <w:t xml:space="preserve">监管</w:t>
            </w:r>
            <w:r>
              <w:rPr>
                <w:rFonts w:hint="eastAsia" w:ascii="宋体" w:hAnsi="宋体" w:eastAsia="宋体" w:cs="Helvetica"/>
                <w:color w:val="auto"/>
                <w:sz w:val="24"/>
                <w:szCs w:val="24"/>
                <w:highlight w:val="none"/>
                <w:lang w:val="en-US" w:eastAsia="zh-CN"/>
              </w:rPr>
              <w:t xml:space="preserve">平台</w:t>
            </w:r>
            <w:r/>
          </w:p>
        </w:tc>
        <w:tc>
          <w:tcPr>
            <w:tcW w:w="1405"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1</w:t>
            </w:r>
            <w:r/>
          </w:p>
        </w:tc>
        <w:tc>
          <w:tcPr>
            <w:tcW w:w="1657" w:type="dxa"/>
            <w:vAlign w:val="center"/>
            <w:textDirection w:val="lrTb"/>
            <w:noWrap w:val="false"/>
          </w:tcPr>
          <w:p>
            <w:pPr>
              <w:jc w:val="center"/>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套</w:t>
            </w:r>
            <w:r/>
          </w:p>
        </w:tc>
        <w:tc>
          <w:tcPr>
            <w:tcW w:w="2483" w:type="dxa"/>
            <w:vAlign w:val="center"/>
            <w:textDirection w:val="lrTb"/>
            <w:noWrap w:val="false"/>
          </w:tcPr>
          <w:p>
            <w:pPr>
              <w:jc w:val="center"/>
              <w:widowControl/>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工业</w:t>
            </w:r>
            <w:r/>
          </w:p>
        </w:tc>
      </w:tr>
      <w:tr>
        <w:trPr>
          <w:jc w:val="center"/>
          <w:trHeight w:val="567"/>
        </w:trPr>
        <w:tc>
          <w:tcPr>
            <w:tcW w:w="1032" w:type="dxa"/>
            <w:vAlign w:val="center"/>
            <w:textDirection w:val="lrTb"/>
            <w:noWrap w:val="false"/>
          </w:tcPr>
          <w:p>
            <w:pPr>
              <w:jc w:val="center"/>
              <w:widowControl/>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5</w:t>
            </w:r>
            <w:r/>
          </w:p>
        </w:tc>
        <w:tc>
          <w:tcPr>
            <w:tcW w:w="3263" w:type="dxa"/>
            <w:vAlign w:val="center"/>
            <w:textDirection w:val="lrTb"/>
            <w:noWrap w:val="false"/>
          </w:tcPr>
          <w:p>
            <w:pPr>
              <w:jc w:val="center"/>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移动电源</w:t>
            </w:r>
            <w:r/>
          </w:p>
        </w:tc>
        <w:tc>
          <w:tcPr>
            <w:tcW w:w="1405" w:type="dxa"/>
            <w:vAlign w:val="center"/>
            <w:textDirection w:val="lrTb"/>
            <w:noWrap w:val="false"/>
          </w:tcPr>
          <w:p>
            <w:pPr>
              <w:jc w:val="center"/>
              <w:widowControl/>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1</w:t>
            </w:r>
            <w:r/>
          </w:p>
        </w:tc>
        <w:tc>
          <w:tcPr>
            <w:tcW w:w="1657" w:type="dxa"/>
            <w:vAlign w:val="center"/>
            <w:textDirection w:val="lrTb"/>
            <w:noWrap w:val="false"/>
          </w:tcPr>
          <w:p>
            <w:pPr>
              <w:jc w:val="center"/>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套</w:t>
            </w:r>
            <w:r/>
          </w:p>
        </w:tc>
        <w:tc>
          <w:tcPr>
            <w:tcW w:w="2483" w:type="dxa"/>
            <w:vAlign w:val="center"/>
            <w:textDirection w:val="lrTb"/>
            <w:noWrap w:val="false"/>
          </w:tcPr>
          <w:p>
            <w:pPr>
              <w:jc w:val="center"/>
              <w:widowControl/>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工业</w:t>
            </w:r>
            <w:r/>
          </w:p>
        </w:tc>
      </w:tr>
    </w:tbl>
    <w:p>
      <w:pPr>
        <w:jc w:val="left"/>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65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648"/>
        <w:gridCol w:w="7444"/>
      </w:tblGrid>
      <w:tr>
        <w:trPr>
          <w:jc w:val="center"/>
        </w:trPr>
        <w:tc>
          <w:tcPr>
            <w:tcW w:w="385"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序号</w:t>
            </w:r>
            <w:r/>
          </w:p>
        </w:tc>
        <w:tc>
          <w:tcPr>
            <w:tcW w:w="836"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货物（标的）名称</w:t>
            </w:r>
            <w:r/>
          </w:p>
        </w:tc>
        <w:tc>
          <w:tcPr>
            <w:tcW w:w="3777"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技术参数及功能指标</w:t>
            </w:r>
            <w:r/>
          </w:p>
        </w:tc>
      </w:tr>
      <w:tr>
        <w:trPr>
          <w:jc w:val="center"/>
        </w:trPr>
        <w:tc>
          <w:tcPr>
            <w:tcW w:w="385" w:type="pct"/>
            <w:vAlign w:val="center"/>
            <w:textDirection w:val="lrTb"/>
            <w:noWrap w:val="false"/>
          </w:tcPr>
          <w:p>
            <w:pPr>
              <w:jc w:val="center"/>
              <w:widowControl/>
              <w:rPr>
                <w:rFonts w:ascii="宋体" w:hAnsi="宋体" w:cs="Helvetica"/>
                <w:color w:val="auto"/>
                <w:sz w:val="24"/>
                <w:szCs w:val="32"/>
                <w:highlight w:val="none"/>
              </w:rPr>
            </w:pPr>
            <w:r>
              <w:rPr>
                <w:rFonts w:hint="eastAsia" w:ascii="宋体" w:hAnsi="宋体" w:cs="宋体"/>
                <w:color w:val="auto"/>
                <w:sz w:val="24"/>
                <w:szCs w:val="24"/>
                <w:highlight w:val="none"/>
              </w:rPr>
              <w:t xml:space="preserve">1</w:t>
            </w:r>
            <w:r/>
          </w:p>
        </w:tc>
        <w:tc>
          <w:tcPr>
            <w:tcW w:w="836"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eastAsia="宋体" w:cs="宋体"/>
                <w:color w:val="auto"/>
                <w:sz w:val="24"/>
                <w:highlight w:val="none"/>
                <w:lang w:val="en-US" w:eastAsia="zh-CN"/>
              </w:rPr>
              <w:t xml:space="preserve">无人机侦测</w:t>
            </w:r>
            <w:r>
              <w:rPr>
                <w:rFonts w:hint="eastAsia" w:ascii="宋体" w:hAnsi="宋体" w:eastAsia="宋体" w:cs="宋体"/>
                <w:color w:val="auto"/>
                <w:sz w:val="24"/>
                <w:highlight w:val="none"/>
              </w:rPr>
              <w:t xml:space="preserve">设备</w:t>
            </w:r>
            <w:r/>
          </w:p>
        </w:tc>
        <w:tc>
          <w:tcPr>
            <w:tcW w:w="377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设备参数：</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val="en-US" w:eastAsia="zh-CN" w:bidi="ar"/>
              </w:rPr>
              <w:t xml:space="preserve">主机</w:t>
            </w:r>
            <w:r>
              <w:rPr>
                <w:rFonts w:hint="eastAsia" w:ascii="宋体" w:hAnsi="宋体" w:eastAsia="宋体" w:cs="宋体"/>
                <w:color w:val="auto"/>
                <w:sz w:val="24"/>
                <w:highlight w:val="none"/>
                <w:lang w:bidi="ar"/>
              </w:rPr>
              <w:t xml:space="preserve">工作温度：-40℃</w:t>
            </w:r>
            <w:r>
              <w:rPr>
                <w:rFonts w:hint="eastAsia" w:ascii="宋体" w:hAnsi="宋体" w:eastAsia="宋体" w:cstheme="minorBidi"/>
                <w:color w:val="auto"/>
                <w:sz w:val="24"/>
                <w:highlight w:val="none"/>
              </w:rPr>
              <w:t xml:space="preserve">～</w:t>
            </w:r>
            <w:r>
              <w:rPr>
                <w:rFonts w:hint="eastAsia" w:ascii="宋体" w:hAnsi="宋体" w:eastAsia="宋体" w:cs="宋体"/>
                <w:color w:val="auto"/>
                <w:sz w:val="24"/>
                <w:highlight w:val="none"/>
                <w:lang w:bidi="ar"/>
              </w:rPr>
              <w:t xml:space="preserve">+60℃。</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电源适应性：在电源电压AC 100V～240V范围内能正常工作</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bidi="ar"/>
              </w:rPr>
              <w:t xml:space="preserve">功耗：≤</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0W</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防护等级：≥IP65。</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2.无线电探测功能：</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bidi="ar"/>
              </w:rPr>
              <w:t xml:space="preserve">探测频率范围：100MHz</w:t>
            </w:r>
            <w:r>
              <w:rPr>
                <w:rFonts w:hint="eastAsia" w:ascii="宋体" w:hAnsi="宋体" w:eastAsia="宋体" w:cstheme="minorBidi"/>
                <w:color w:val="auto"/>
                <w:sz w:val="24"/>
                <w:highlight w:val="none"/>
              </w:rPr>
              <w:t xml:space="preserve">～</w:t>
            </w:r>
            <w:r>
              <w:rPr>
                <w:rFonts w:hint="eastAsia" w:ascii="宋体" w:hAnsi="宋体" w:eastAsia="宋体" w:cs="宋体"/>
                <w:color w:val="auto"/>
                <w:sz w:val="24"/>
                <w:highlight w:val="none"/>
                <w:lang w:bidi="ar"/>
              </w:rPr>
              <w:t xml:space="preserve">6GHz。</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频谱扫描功能：能对信号频率在100MHz～6GHz范围内的无线电信号进行探测，并能显示探测到的频谱波形图。</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val="en-US" w:eastAsia="zh-CN" w:bidi="ar"/>
              </w:rPr>
              <w:t xml:space="preserve">支持</w:t>
            </w:r>
            <w:r>
              <w:rPr>
                <w:rFonts w:hint="eastAsia" w:ascii="宋体" w:hAnsi="宋体" w:eastAsia="宋体" w:cs="宋体"/>
                <w:color w:val="auto"/>
                <w:sz w:val="24"/>
                <w:highlight w:val="none"/>
                <w:lang w:bidi="ar"/>
              </w:rPr>
              <w:t xml:space="preserve">探测</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测向市面现有的消费级无人机、行业级无人机</w:t>
            </w:r>
            <w:r>
              <w:rPr>
                <w:rFonts w:hint="eastAsia" w:ascii="宋体" w:hAnsi="宋体" w:eastAsia="宋体" w:cs="宋体"/>
                <w:color w:val="auto"/>
                <w:sz w:val="24"/>
                <w:highlight w:val="none"/>
                <w:lang w:bidi="ar"/>
              </w:rPr>
              <w:t xml:space="preserve">、Wi-Fi机、穿越机，以及自制类无人机（模拟图传、数传模块）等</w:t>
            </w:r>
            <w:r>
              <w:rPr>
                <w:rFonts w:hint="eastAsia" w:ascii="宋体" w:hAnsi="宋体" w:eastAsia="宋体" w:cs="宋体"/>
                <w:color w:val="auto"/>
                <w:sz w:val="24"/>
                <w:highlight w:val="none"/>
                <w:lang w:val="en-US" w:eastAsia="zh-CN" w:bidi="ar"/>
              </w:rPr>
              <w:t xml:space="preserve">无人机</w:t>
            </w:r>
            <w:r>
              <w:rPr>
                <w:rFonts w:hint="eastAsia" w:ascii="宋体" w:hAnsi="宋体" w:eastAsia="宋体" w:cs="宋体"/>
                <w:color w:val="auto"/>
                <w:sz w:val="24"/>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穿越机探测能力：能探测工作频段为900MHz、1.2GHz、5.7GHz、5.9GHz的自制穿越机，并能在探测结果列表显示无人机工作频率、带宽、探测时间、图传图像等信息。</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(5)</w:t>
            </w:r>
            <w:r>
              <w:rPr>
                <w:rFonts w:hint="eastAsia" w:ascii="宋体" w:hAnsi="宋体" w:eastAsia="宋体" w:cs="宋体"/>
                <w:color w:val="auto"/>
                <w:sz w:val="24"/>
                <w:highlight w:val="none"/>
                <w:lang w:bidi="ar"/>
              </w:rPr>
              <w:t xml:space="preserve">RID接收功能：能识别采用Wi-Fi beacon和蓝牙4.0协议的RID无人机，并能在探测列表中显示探测结果及无人机SN码、无人机经纬度、飞手（遥控器）经纬度、海拔高度、工作频率等信息。RID接收距离：≥</w:t>
            </w:r>
            <w:r>
              <w:rPr>
                <w:rFonts w:hint="eastAsia" w:ascii="宋体" w:hAnsi="宋体" w:eastAsia="宋体" w:cs="宋体"/>
                <w:color w:val="auto"/>
                <w:sz w:val="24"/>
                <w:highlight w:val="none"/>
                <w:lang w:val="en-US" w:eastAsia="zh-CN" w:bidi="ar"/>
              </w:rPr>
              <w:t xml:space="preserve">1k</w:t>
            </w:r>
            <w:r>
              <w:rPr>
                <w:rFonts w:hint="eastAsia" w:ascii="宋体" w:hAnsi="宋体" w:eastAsia="宋体" w:cs="宋体"/>
                <w:color w:val="auto"/>
                <w:sz w:val="24"/>
                <w:highlight w:val="none"/>
                <w:lang w:bidi="ar"/>
              </w:rPr>
              <w:t xml:space="preserve">m。（无障碍条件下）</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(6)</w:t>
            </w:r>
            <w:r>
              <w:rPr>
                <w:rFonts w:hint="eastAsia" w:ascii="宋体" w:hAnsi="宋体" w:eastAsia="宋体" w:cs="宋体"/>
                <w:color w:val="auto"/>
                <w:sz w:val="24"/>
                <w:highlight w:val="none"/>
                <w:lang w:bidi="ar"/>
              </w:rPr>
              <w:t xml:space="preserve">探测信息显示功能：能显示探测到的无人机品牌、型号、频率、大致方位、本机ID等参数信息。</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(7)</w:t>
            </w:r>
            <w:r>
              <w:rPr>
                <w:rFonts w:hint="eastAsia" w:ascii="宋体" w:hAnsi="宋体" w:eastAsia="宋体" w:cs="宋体"/>
                <w:color w:val="auto"/>
                <w:sz w:val="24"/>
                <w:highlight w:val="none"/>
                <w:lang w:bidi="ar"/>
              </w:rPr>
              <w:t xml:space="preserve">探测灵敏度：≤-95dBm。</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(8)</w:t>
            </w:r>
            <w:r>
              <w:rPr>
                <w:rFonts w:hint="eastAsia" w:ascii="宋体" w:hAnsi="宋体" w:eastAsia="宋体" w:cs="宋体"/>
                <w:color w:val="auto"/>
                <w:sz w:val="24"/>
                <w:highlight w:val="none"/>
                <w:lang w:bidi="ar"/>
              </w:rPr>
              <w:t xml:space="preserve">探测方位：水平360°。</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(9)</w:t>
            </w:r>
            <w:r>
              <w:rPr>
                <w:rFonts w:hint="eastAsia" w:ascii="宋体" w:hAnsi="宋体" w:eastAsia="宋体" w:cs="宋体"/>
                <w:color w:val="auto"/>
                <w:sz w:val="24"/>
                <w:highlight w:val="none"/>
                <w:lang w:bidi="ar"/>
              </w:rPr>
              <w:t xml:space="preserve">探测距离：≥5km。（无障碍条件下）</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(10)</w:t>
            </w:r>
            <w:r>
              <w:rPr>
                <w:rFonts w:hint="eastAsia" w:ascii="宋体" w:hAnsi="宋体" w:eastAsia="宋体" w:cs="宋体"/>
                <w:color w:val="auto"/>
                <w:sz w:val="24"/>
                <w:highlight w:val="none"/>
                <w:lang w:bidi="ar"/>
              </w:rPr>
              <w:t xml:space="preserve">探测高度：0～1000m</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(11)</w:t>
            </w:r>
            <w:r>
              <w:rPr>
                <w:rFonts w:hint="eastAsia" w:ascii="宋体" w:hAnsi="宋体" w:eastAsia="宋体" w:cs="宋体"/>
                <w:color w:val="auto"/>
                <w:sz w:val="24"/>
                <w:highlight w:val="none"/>
                <w:lang w:bidi="ar"/>
              </w:rPr>
              <w:t xml:space="preserve">探测信息刷新率：≥</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次/</w:t>
            </w:r>
            <w:r>
              <w:rPr>
                <w:rFonts w:hint="eastAsia" w:ascii="宋体" w:hAnsi="宋体" w:eastAsia="宋体" w:cs="宋体"/>
                <w:color w:val="auto"/>
                <w:sz w:val="24"/>
                <w:highlight w:val="none"/>
                <w:lang w:val="en-US" w:eastAsia="zh-CN" w:bidi="ar"/>
              </w:rPr>
              <w:t xml:space="preserve">秒</w:t>
            </w:r>
            <w:r>
              <w:rPr>
                <w:rFonts w:hint="eastAsia" w:ascii="宋体" w:hAnsi="宋体" w:eastAsia="宋体" w:cs="宋体"/>
                <w:color w:val="auto"/>
                <w:sz w:val="24"/>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(12)</w:t>
            </w:r>
            <w:r>
              <w:rPr>
                <w:rFonts w:hint="eastAsia" w:ascii="宋体" w:hAnsi="宋体" w:eastAsia="宋体" w:cs="宋体"/>
                <w:color w:val="auto"/>
                <w:sz w:val="24"/>
                <w:highlight w:val="none"/>
                <w:lang w:bidi="ar"/>
              </w:rPr>
              <w:t xml:space="preserve">探测虚警率：≤1次/天（连续探测24小时）。</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(13)</w:t>
            </w:r>
            <w:r>
              <w:rPr>
                <w:rFonts w:hint="eastAsia" w:ascii="宋体" w:hAnsi="宋体" w:eastAsia="宋体" w:cs="宋体"/>
                <w:color w:val="auto"/>
                <w:sz w:val="24"/>
                <w:highlight w:val="none"/>
                <w:lang w:bidi="ar"/>
              </w:rPr>
              <w:t xml:space="preserve">探测成功率：≥99%。</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(14)</w:t>
            </w:r>
            <w:r>
              <w:rPr>
                <w:rFonts w:hint="eastAsia" w:ascii="宋体" w:hAnsi="宋体" w:eastAsia="宋体" w:cs="宋体"/>
                <w:color w:val="auto"/>
                <w:sz w:val="24"/>
                <w:highlight w:val="none"/>
                <w:lang w:bidi="ar"/>
              </w:rPr>
              <w:t xml:space="preserve">同时探测无人机数量：≥25架（≥10个品牌）。</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(15)</w:t>
            </w:r>
            <w:r>
              <w:rPr>
                <w:rFonts w:hint="eastAsia" w:ascii="宋体" w:hAnsi="宋体" w:eastAsia="宋体" w:cs="宋体"/>
                <w:color w:val="auto"/>
                <w:sz w:val="24"/>
                <w:highlight w:val="none"/>
                <w:lang w:bidi="ar"/>
              </w:rPr>
              <w:t xml:space="preserve">探测识别时间：≤1s。</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(16)</w:t>
            </w:r>
            <w:r>
              <w:rPr>
                <w:rFonts w:hint="eastAsia" w:ascii="宋体" w:hAnsi="宋体" w:eastAsia="宋体" w:cs="宋体"/>
                <w:color w:val="auto"/>
                <w:sz w:val="24"/>
                <w:highlight w:val="none"/>
                <w:lang w:bidi="ar"/>
              </w:rPr>
              <w:t xml:space="preserve">具备TDOA定位功能，支持在电子地图上显示定位到的无人机位置图标及飞行轨迹。</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(17)</w:t>
            </w:r>
            <w:r>
              <w:rPr>
                <w:rFonts w:hint="eastAsia" w:ascii="宋体" w:hAnsi="宋体" w:eastAsia="宋体" w:cstheme="minorBidi"/>
                <w:color w:val="auto"/>
                <w:sz w:val="24"/>
                <w:highlight w:val="none"/>
              </w:rPr>
              <w:t xml:space="preserve">穿越机探测能力:能对DIY穿越机进行探测识别，列表显示穿越机名称、频率等信息;并且能对FPV穿越机的模拟图传进行实时图像解析</w:t>
            </w:r>
            <w:r>
              <w:rPr>
                <w:rFonts w:hint="eastAsia" w:ascii="宋体" w:hAnsi="宋体" w:eastAsia="宋体" w:cstheme="minorBidi"/>
                <w:color w:val="auto"/>
                <w:sz w:val="24"/>
                <w:highlight w:val="none"/>
                <w:lang w:eastAsia="zh-CN"/>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(18)</w:t>
            </w:r>
            <w:r>
              <w:rPr>
                <w:rFonts w:hint="eastAsia" w:ascii="宋体" w:hAnsi="宋体" w:eastAsia="宋体" w:cs="宋体"/>
                <w:color w:val="auto"/>
                <w:sz w:val="24"/>
                <w:highlight w:val="none"/>
                <w:lang w:bidi="ar"/>
              </w:rPr>
              <w:t xml:space="preserve">TDOA跟踪速度：0m/s</w:t>
            </w:r>
            <w:r>
              <w:rPr>
                <w:rFonts w:hint="eastAsia" w:ascii="宋体" w:hAnsi="宋体" w:eastAsia="宋体" w:cstheme="minorBidi"/>
                <w:color w:val="auto"/>
                <w:sz w:val="24"/>
                <w:highlight w:val="none"/>
              </w:rPr>
              <w:t xml:space="preserve">～</w:t>
            </w:r>
            <w:r>
              <w:rPr>
                <w:rFonts w:hint="eastAsia" w:ascii="宋体" w:hAnsi="宋体" w:eastAsia="宋体" w:cs="宋体"/>
                <w:color w:val="auto"/>
                <w:sz w:val="24"/>
                <w:highlight w:val="none"/>
                <w:lang w:bidi="ar"/>
              </w:rPr>
              <w:t xml:space="preserve">20m/s。</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(19)</w:t>
            </w:r>
            <w:r>
              <w:rPr>
                <w:rFonts w:hint="eastAsia" w:ascii="宋体" w:hAnsi="宋体" w:eastAsia="宋体" w:cs="宋体"/>
                <w:color w:val="auto"/>
                <w:sz w:val="24"/>
                <w:highlight w:val="none"/>
                <w:lang w:bidi="ar"/>
              </w:rPr>
              <w:t xml:space="preserve">TDOA结果刷新时间：≤1s。</w:t>
            </w:r>
            <w:r/>
          </w:p>
          <w:p>
            <w:pPr>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3.AOA测向功能：</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bidi="ar"/>
              </w:rPr>
              <w:t xml:space="preserve">测向功能：单台设备能对无人机进行测向，能在探测列表显示无人机的方位信息，并支持在电子地图上通过扇形动画显示无人机大致方位。</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测向频段：2GHz～6GHz</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测向距离：≥4.5km</w:t>
            </w:r>
            <w:r>
              <w:rPr>
                <w:rFonts w:hint="eastAsia" w:ascii="宋体" w:hAnsi="宋体" w:eastAsia="宋体" w:cs="宋体"/>
                <w:color w:val="auto"/>
                <w:sz w:val="24"/>
                <w:highlight w:val="none"/>
                <w:lang w:eastAsia="zh-CN" w:bidi="ar"/>
              </w:rPr>
              <w:t xml:space="preserve">）</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bidi="ar"/>
              </w:rPr>
              <w:t xml:space="preserve">测向精度：≤3°（RMS）。</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同时测向数量试验：能同时对不少于3个无人机目标进行测向，并能在电子地图上用不同颜色标识大致方位。</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(5)</w:t>
            </w:r>
            <w:r>
              <w:rPr>
                <w:rFonts w:hint="eastAsia" w:ascii="宋体" w:hAnsi="宋体" w:eastAsia="宋体" w:cs="宋体"/>
                <w:color w:val="auto"/>
                <w:sz w:val="24"/>
                <w:highlight w:val="none"/>
                <w:lang w:bidi="ar"/>
              </w:rPr>
              <w:t xml:space="preserve">交叉定位功能：2台设备组网探测实现对无人机交叉定位，且支持在电子地图上显示无人机位置图标。</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(6)</w:t>
            </w:r>
            <w:r>
              <w:rPr>
                <w:rFonts w:hint="eastAsia" w:ascii="宋体" w:hAnsi="宋体" w:eastAsia="宋体" w:cs="宋体"/>
                <w:color w:val="auto"/>
                <w:sz w:val="24"/>
                <w:highlight w:val="none"/>
                <w:lang w:bidi="ar"/>
              </w:rPr>
              <w:t xml:space="preserve">交叉定位精度：≤80m。（无障碍条件下）</w:t>
            </w:r>
            <w:r/>
          </w:p>
          <w:p>
            <w:pPr>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4.协议解析功能：</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bidi="ar"/>
              </w:rPr>
              <w:t xml:space="preserve">定位功能：单台设备定位到无人机后，支持在探测列表实时显示飞手（遥控器）经纬度坐标、方位、相对设备距离等信息，并支持在电子地图上显示飞手（遥控器）位置图标。</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定位距离：≥3km（无障碍条件下）。</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bidi="ar"/>
              </w:rPr>
              <w:t xml:space="preserve">定位精度：无人机定位误差：≤5m；飞手（遥控器）定位误差：≤5m；无人机高度误差：≤10m。</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定位响应时间：≤1s。</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(5)</w:t>
            </w:r>
            <w:r>
              <w:rPr>
                <w:rFonts w:hint="eastAsia" w:ascii="宋体" w:hAnsi="宋体" w:eastAsia="宋体" w:cs="宋体"/>
                <w:color w:val="auto"/>
                <w:sz w:val="24"/>
                <w:highlight w:val="none"/>
                <w:lang w:bidi="ar"/>
              </w:rPr>
              <w:t xml:space="preserve">多目标轨迹跟踪功能：支持同时定位、跟踪多台无人机，并通过不同的颜色标识各无人机的飞行轨迹。</w:t>
            </w:r>
            <w:r/>
          </w:p>
          <w:p>
            <w:pPr>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5.系统功能：</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bidi="ar"/>
              </w:rPr>
              <w:t xml:space="preserve">探测模式切换功能：支持通过管控平台切换AOA测向模式或TDOA定位模式。AOA测向模式时支持对无人机进行测向，TDOA定位模式时支持对无人机进行定位。</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电子地图功能：支持加载高德、谷歌、百度等在线或离线电子地图，且能切换标准地图或卫星地图。</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bidi="ar"/>
              </w:rPr>
              <w:t xml:space="preserve">跳频</w:t>
            </w:r>
            <w:r>
              <w:rPr>
                <w:rFonts w:hint="eastAsia" w:ascii="宋体" w:hAnsi="宋体" w:eastAsia="宋体" w:cs="宋体"/>
                <w:color w:val="auto"/>
                <w:sz w:val="24"/>
                <w:highlight w:val="none"/>
                <w:lang w:val="en-US" w:eastAsia="zh-CN" w:bidi="ar"/>
              </w:rPr>
              <w:t xml:space="preserve">目标</w:t>
            </w:r>
            <w:r>
              <w:rPr>
                <w:rFonts w:hint="eastAsia" w:ascii="宋体" w:hAnsi="宋体" w:eastAsia="宋体" w:cs="宋体"/>
                <w:color w:val="auto"/>
                <w:sz w:val="24"/>
                <w:highlight w:val="none"/>
                <w:lang w:bidi="ar"/>
              </w:rPr>
              <w:t xml:space="preserve">跟踪功能：目标无人机改变工作频段后，系统能自动跟踪、并识别为同一架次无人机，并在电子地图上显示为同一条轨迹。</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回放功能：具备入侵目标测向记录及飞行轨迹回放功能。</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(5)</w:t>
            </w:r>
            <w:r>
              <w:rPr>
                <w:rFonts w:hint="eastAsia" w:ascii="宋体" w:hAnsi="宋体" w:eastAsia="宋体" w:cs="宋体"/>
                <w:color w:val="auto"/>
                <w:sz w:val="24"/>
                <w:highlight w:val="none"/>
                <w:lang w:bidi="ar"/>
              </w:rPr>
              <w:t xml:space="preserve">探测机型库：</w:t>
            </w:r>
            <w:r>
              <w:rPr>
                <w:rFonts w:hint="eastAsia" w:ascii="宋体" w:hAnsi="宋体" w:eastAsia="宋体" w:cs="宋体"/>
                <w:color w:val="auto"/>
                <w:sz w:val="24"/>
                <w:highlight w:val="none"/>
                <w:lang w:val="en-US" w:eastAsia="zh-CN" w:bidi="ar"/>
              </w:rPr>
              <w:t xml:space="preserve">至少包含</w:t>
            </w:r>
            <w:r>
              <w:rPr>
                <w:rFonts w:hint="eastAsia" w:ascii="宋体" w:hAnsi="宋体" w:eastAsia="宋体" w:cs="宋体"/>
                <w:color w:val="auto"/>
                <w:sz w:val="24"/>
                <w:highlight w:val="none"/>
                <w:lang w:bidi="ar"/>
              </w:rPr>
              <w:t xml:space="preserve">700种</w:t>
            </w:r>
            <w:r>
              <w:rPr>
                <w:rFonts w:hint="eastAsia" w:ascii="宋体" w:hAnsi="宋体" w:eastAsia="宋体" w:cs="宋体"/>
                <w:color w:val="auto"/>
                <w:sz w:val="24"/>
                <w:highlight w:val="none"/>
                <w:lang w:val="en-US" w:eastAsia="zh-CN" w:bidi="ar"/>
              </w:rPr>
              <w:t xml:space="preserve">无人机机型</w:t>
            </w:r>
            <w:r>
              <w:rPr>
                <w:rFonts w:hint="eastAsia" w:ascii="宋体" w:hAnsi="宋体" w:eastAsia="宋体" w:cs="宋体"/>
                <w:color w:val="auto"/>
                <w:sz w:val="24"/>
                <w:highlight w:val="none"/>
                <w:lang w:bidi="ar"/>
              </w:rPr>
              <w:t xml:space="preserve">。</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(6)</w:t>
            </w:r>
            <w:r>
              <w:rPr>
                <w:rFonts w:hint="eastAsia" w:ascii="宋体" w:hAnsi="宋体" w:eastAsia="宋体" w:cs="宋体"/>
                <w:color w:val="auto"/>
                <w:sz w:val="24"/>
                <w:highlight w:val="none"/>
                <w:lang w:bidi="ar"/>
              </w:rPr>
              <w:t xml:space="preserve">黑白名单功能：设备探测到白名单无人机时，平台不</w:t>
            </w:r>
            <w:r>
              <w:rPr>
                <w:rFonts w:hint="eastAsia" w:ascii="宋体" w:hAnsi="宋体" w:eastAsia="宋体" w:cs="宋体"/>
                <w:color w:val="auto"/>
                <w:sz w:val="24"/>
                <w:highlight w:val="none"/>
                <w:lang w:val="en-US" w:eastAsia="zh-CN" w:bidi="ar"/>
              </w:rPr>
              <w:t xml:space="preserve">触发</w:t>
            </w:r>
            <w:r>
              <w:rPr>
                <w:rFonts w:hint="eastAsia" w:ascii="宋体" w:hAnsi="宋体" w:eastAsia="宋体" w:cs="宋体"/>
                <w:color w:val="auto"/>
                <w:sz w:val="24"/>
                <w:highlight w:val="none"/>
                <w:lang w:bidi="ar"/>
              </w:rPr>
              <w:t xml:space="preserve">告警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系统探测到非白名单无人机进入预警区时，管控平台能进行声光告警，并在地图上显示无人机图标、弹出信息列表。</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(7)</w:t>
            </w:r>
            <w:r>
              <w:rPr>
                <w:rFonts w:hint="eastAsia" w:ascii="宋体" w:hAnsi="宋体" w:eastAsia="宋体" w:cs="宋体"/>
                <w:color w:val="auto"/>
                <w:sz w:val="24"/>
                <w:highlight w:val="none"/>
                <w:lang w:bidi="ar"/>
              </w:rPr>
              <w:t xml:space="preserve">探测记录存储功能：具有历史探测记录存储功能，探测记录应包括时间、无人机型号、无人机序列号（GID/SN码）、频率、类型（无线探测/测向）等信息；</w:t>
            </w:r>
            <w:r>
              <w:rPr>
                <w:rFonts w:hint="eastAsia" w:ascii="宋体" w:hAnsi="宋体" w:eastAsia="宋体" w:cs="宋体"/>
                <w:color w:val="auto"/>
                <w:sz w:val="24"/>
                <w:highlight w:val="none"/>
                <w:lang w:val="en-US" w:eastAsia="zh-CN" w:bidi="ar"/>
              </w:rPr>
              <w:t xml:space="preserve">支持</w:t>
            </w:r>
            <w:r>
              <w:rPr>
                <w:rFonts w:hint="eastAsia" w:ascii="宋体" w:hAnsi="宋体" w:eastAsia="宋体" w:cs="宋体"/>
                <w:color w:val="auto"/>
                <w:sz w:val="24"/>
                <w:highlight w:val="none"/>
                <w:lang w:bidi="ar"/>
              </w:rPr>
              <w:t xml:space="preserve">对历史探测到的入侵无人机进行身份项标记，记录每次探测机型的身份信息（黑白名单）。</w:t>
            </w:r>
            <w:r/>
          </w:p>
          <w:p>
            <w:pPr>
              <w:spacing w:line="360" w:lineRule="auto"/>
              <w:widowControl/>
              <w:rPr>
                <w:rFonts w:ascii="宋体" w:hAnsi="宋体" w:cs="Helvetica"/>
                <w:color w:val="auto"/>
                <w:sz w:val="24"/>
                <w:szCs w:val="32"/>
                <w:highlight w:val="none"/>
              </w:rPr>
            </w:pPr>
            <w:r>
              <w:rPr>
                <w:rFonts w:hint="eastAsia" w:ascii="宋体" w:hAnsi="宋体" w:eastAsia="宋体" w:cs="宋体"/>
                <w:color w:val="auto"/>
                <w:sz w:val="24"/>
                <w:highlight w:val="none"/>
                <w:lang w:bidi="ar"/>
              </w:rPr>
              <w:t xml:space="preserve">▲</w:t>
            </w:r>
            <w:r>
              <w:rPr>
                <w:rFonts w:hint="eastAsia" w:ascii="宋体" w:hAnsi="宋体" w:eastAsia="宋体" w:cstheme="minorBidi"/>
                <w:color w:val="auto"/>
                <w:sz w:val="24"/>
                <w:highlight w:val="none"/>
                <w:lang w:val="en-US" w:eastAsia="zh-CN"/>
              </w:rPr>
              <w:t xml:space="preserve">（8）飞手位置推送</w:t>
            </w:r>
            <w:r>
              <w:rPr>
                <w:rFonts w:hint="eastAsia" w:ascii="宋体" w:hAnsi="宋体" w:eastAsia="宋体" w:cstheme="minorBidi"/>
                <w:color w:val="auto"/>
                <w:sz w:val="24"/>
                <w:highlight w:val="none"/>
              </w:rPr>
              <w:t xml:space="preserve">：</w:t>
            </w:r>
            <w:r>
              <w:rPr>
                <w:rFonts w:hint="eastAsia" w:ascii="宋体" w:hAnsi="宋体" w:eastAsia="宋体" w:cstheme="minorBidi"/>
                <w:color w:val="auto"/>
                <w:sz w:val="24"/>
                <w:highlight w:val="none"/>
                <w:lang w:val="en-US" w:eastAsia="zh-CN"/>
              </w:rPr>
              <w:t xml:space="preserve">通过扫描平台二维码，在手机电子地图上显</w:t>
            </w:r>
            <w:r>
              <w:rPr>
                <w:rFonts w:hint="eastAsia" w:ascii="宋体" w:hAnsi="宋体" w:eastAsia="宋体" w:cstheme="minorBidi"/>
                <w:color w:val="auto"/>
                <w:sz w:val="24"/>
                <w:highlight w:val="none"/>
              </w:rPr>
              <w:t xml:space="preserve">示无人机</w:t>
            </w:r>
            <w:r>
              <w:rPr>
                <w:rFonts w:hint="eastAsia" w:ascii="宋体" w:hAnsi="宋体" w:eastAsia="宋体" w:cstheme="minorBidi"/>
                <w:color w:val="auto"/>
                <w:sz w:val="24"/>
                <w:highlight w:val="none"/>
                <w:lang w:val="en-US" w:eastAsia="zh-CN"/>
              </w:rPr>
              <w:t xml:space="preserve">飞手位置</w:t>
            </w:r>
            <w:r>
              <w:rPr>
                <w:rFonts w:hint="eastAsia" w:ascii="宋体" w:hAnsi="宋体" w:eastAsia="宋体" w:cstheme="minorBidi"/>
                <w:color w:val="auto"/>
                <w:sz w:val="24"/>
                <w:highlight w:val="none"/>
              </w:rPr>
              <w:t xml:space="preserve">。</w:t>
            </w:r>
            <w:r/>
          </w:p>
        </w:tc>
      </w:tr>
      <w:tr>
        <w:trPr>
          <w:jc w:val="center"/>
        </w:trPr>
        <w:tc>
          <w:tcPr>
            <w:tcW w:w="38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836" w:type="pct"/>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eastAsia="宋体" w:cs="宋体" w:asciiTheme="minorEastAsia" w:hAnsiTheme="minorEastAsia"/>
                <w:color w:val="auto"/>
                <w:sz w:val="24"/>
                <w:highlight w:val="none"/>
              </w:rPr>
              <w:t xml:space="preserve">无人机精准反制设备</w:t>
            </w:r>
            <w:r/>
          </w:p>
        </w:tc>
        <w:tc>
          <w:tcPr>
            <w:tcW w:w="3777" w:type="pct"/>
            <w:vAlign w:val="center"/>
            <w:textDirection w:val="lrTb"/>
            <w:noWrap w:val="false"/>
          </w:tcPr>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宋体"/>
                <w:color w:val="auto"/>
                <w:sz w:val="24"/>
                <w:highlight w:val="none"/>
                <w:lang w:bidi="ar"/>
              </w:rPr>
              <w:t xml:space="preserve">工作模式：应具有宽频压制干扰和精准干扰两种工作模式设置，并能进行状态切换。</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宋体"/>
                <w:color w:val="auto"/>
                <w:sz w:val="24"/>
                <w:highlight w:val="none"/>
                <w:lang w:bidi="ar"/>
              </w:rPr>
              <w:t xml:space="preserve">干扰机型：应能对大疆、道通等品牌无人机、wifi无人机、DIY无人机和穿越机进行干扰。</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3.</w:t>
            </w:r>
            <w:r>
              <w:rPr>
                <w:rFonts w:hint="eastAsia" w:ascii="宋体" w:hAnsi="宋体" w:eastAsia="宋体" w:cs="宋体"/>
                <w:color w:val="auto"/>
                <w:sz w:val="24"/>
                <w:highlight w:val="none"/>
                <w:lang w:bidi="ar"/>
              </w:rPr>
              <w:t xml:space="preserve">干扰功能：应能通过信号干扰方式干扰无人机的图传链路、飞控链路，</w:t>
            </w:r>
            <w:r>
              <w:rPr>
                <w:rFonts w:hint="eastAsia" w:ascii="宋体" w:hAnsi="宋体" w:eastAsia="宋体" w:cs="宋体"/>
                <w:color w:val="auto"/>
                <w:sz w:val="24"/>
                <w:highlight w:val="none"/>
                <w:lang w:val="en-US" w:eastAsia="zh-CN" w:bidi="ar"/>
              </w:rPr>
              <w:t xml:space="preserve">对无人机进行处置</w:t>
            </w:r>
            <w:r>
              <w:rPr>
                <w:rFonts w:hint="eastAsia" w:ascii="宋体" w:hAnsi="宋体" w:eastAsia="宋体" w:cs="宋体"/>
                <w:color w:val="auto"/>
                <w:sz w:val="24"/>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宋体"/>
                <w:color w:val="auto"/>
                <w:sz w:val="24"/>
                <w:highlight w:val="none"/>
                <w:lang w:bidi="ar"/>
              </w:rPr>
              <w:t xml:space="preserve">频段控制功能：能通过控制软件选择各反制频段全部开启/关闭、单独开启/关闭或组合开启</w:t>
            </w:r>
            <w:r>
              <w:rPr>
                <w:rFonts w:hint="eastAsia" w:ascii="宋体" w:hAnsi="宋体" w:eastAsia="宋体" w:cs="宋体"/>
                <w:color w:val="auto"/>
                <w:sz w:val="24"/>
                <w:highlight w:val="none"/>
                <w:lang w:eastAsia="zh-CN"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5.</w:t>
            </w:r>
            <w:r>
              <w:rPr>
                <w:rFonts w:hint="eastAsia" w:ascii="宋体" w:hAnsi="宋体" w:eastAsia="宋体" w:cs="宋体"/>
                <w:color w:val="auto"/>
                <w:sz w:val="24"/>
                <w:highlight w:val="none"/>
                <w:lang w:bidi="ar"/>
              </w:rPr>
              <w:t xml:space="preserve">干扰距离：≥1.</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km（</w:t>
            </w:r>
            <w:r>
              <w:rPr>
                <w:rFonts w:hint="eastAsia" w:ascii="宋体" w:hAnsi="宋体" w:eastAsia="宋体" w:cs="宋体"/>
                <w:color w:val="auto"/>
                <w:sz w:val="24"/>
                <w:highlight w:val="none"/>
                <w:lang w:val="en-US" w:eastAsia="zh-CN" w:bidi="ar"/>
              </w:rPr>
              <w:t xml:space="preserve">无明显遮挡、无明显电磁干扰</w:t>
            </w:r>
            <w:r>
              <w:rPr>
                <w:rFonts w:hint="eastAsia" w:ascii="宋体" w:hAnsi="宋体" w:eastAsia="宋体" w:cs="宋体"/>
                <w:color w:val="auto"/>
                <w:sz w:val="24"/>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6.</w:t>
            </w:r>
            <w:r>
              <w:rPr>
                <w:rFonts w:hint="eastAsia" w:ascii="宋体" w:hAnsi="宋体" w:eastAsia="宋体" w:cs="宋体"/>
                <w:color w:val="auto"/>
                <w:sz w:val="24"/>
                <w:highlight w:val="none"/>
                <w:lang w:bidi="ar"/>
              </w:rPr>
              <w:t xml:space="preserve">反</w:t>
            </w:r>
            <w:r>
              <w:rPr>
                <w:rFonts w:hint="eastAsia" w:ascii="宋体" w:hAnsi="宋体" w:cs="宋体"/>
                <w:color w:val="auto"/>
                <w:sz w:val="24"/>
                <w:highlight w:val="none"/>
                <w:lang w:val="en-US" w:eastAsia="zh-CN" w:bidi="ar"/>
              </w:rPr>
              <w:t xml:space="preserve">制</w:t>
            </w:r>
            <w:r>
              <w:rPr>
                <w:rFonts w:hint="eastAsia" w:ascii="宋体" w:hAnsi="宋体" w:eastAsia="宋体" w:cs="宋体"/>
                <w:color w:val="auto"/>
                <w:sz w:val="24"/>
                <w:highlight w:val="none"/>
                <w:lang w:bidi="ar"/>
              </w:rPr>
              <w:t xml:space="preserve">频段：</w:t>
            </w:r>
            <w:r>
              <w:rPr>
                <w:rFonts w:hint="eastAsia" w:ascii="宋体" w:hAnsi="宋体" w:eastAsia="宋体" w:cs="宋体"/>
                <w:color w:val="auto"/>
                <w:sz w:val="24"/>
                <w:highlight w:val="none"/>
                <w:lang w:val="en-US" w:eastAsia="zh-CN" w:bidi="ar"/>
              </w:rPr>
              <w:t xml:space="preserve">0.9G</w:t>
            </w:r>
            <w:r>
              <w:rPr>
                <w:rFonts w:hint="eastAsia" w:ascii="宋体" w:hAnsi="宋体" w:eastAsia="宋体" w:cs="宋体"/>
                <w:color w:val="auto"/>
                <w:sz w:val="24"/>
                <w:highlight w:val="none"/>
                <w:lang w:bidi="ar"/>
              </w:rPr>
              <w:t xml:space="preserve">Hz</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2.4G</w:t>
            </w:r>
            <w:r>
              <w:rPr>
                <w:rFonts w:hint="eastAsia" w:ascii="宋体" w:hAnsi="宋体" w:eastAsia="宋体" w:cs="宋体"/>
                <w:color w:val="auto"/>
                <w:sz w:val="24"/>
                <w:highlight w:val="none"/>
                <w:lang w:bidi="ar"/>
              </w:rPr>
              <w:t xml:space="preserve">Hz</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5.2G</w:t>
            </w:r>
            <w:r>
              <w:rPr>
                <w:rFonts w:hint="eastAsia" w:ascii="宋体" w:hAnsi="宋体" w:eastAsia="宋体" w:cs="宋体"/>
                <w:color w:val="auto"/>
                <w:sz w:val="24"/>
                <w:highlight w:val="none"/>
                <w:lang w:bidi="ar"/>
              </w:rPr>
              <w:t xml:space="preserve">Hz</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5.8G</w:t>
            </w:r>
            <w:r>
              <w:rPr>
                <w:rFonts w:hint="eastAsia" w:ascii="宋体" w:hAnsi="宋体" w:eastAsia="宋体" w:cs="宋体"/>
                <w:color w:val="auto"/>
                <w:sz w:val="24"/>
                <w:highlight w:val="none"/>
                <w:lang w:bidi="ar"/>
              </w:rPr>
              <w:t xml:space="preserve">Hz</w:t>
            </w:r>
            <w:r>
              <w:rPr>
                <w:rFonts w:hint="eastAsia" w:ascii="宋体" w:hAnsi="宋体" w:eastAsia="宋体" w:cs="宋体"/>
                <w:color w:val="auto"/>
                <w:sz w:val="24"/>
                <w:highlight w:val="none"/>
                <w:lang w:val="en-US" w:eastAsia="zh-CN" w:bidi="ar"/>
              </w:rPr>
              <w:t xml:space="preserve">等无人机常用工作频段</w:t>
            </w:r>
            <w:r>
              <w:rPr>
                <w:rFonts w:hint="eastAsia" w:ascii="宋体" w:hAnsi="宋体" w:eastAsia="宋体" w:cs="宋体"/>
                <w:color w:val="auto"/>
                <w:sz w:val="24"/>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7.</w:t>
            </w:r>
            <w:r>
              <w:rPr>
                <w:rFonts w:hint="eastAsia" w:ascii="宋体" w:hAnsi="宋体" w:eastAsia="宋体" w:cs="宋体"/>
                <w:color w:val="auto"/>
                <w:sz w:val="24"/>
                <w:highlight w:val="none"/>
                <w:lang w:bidi="ar"/>
              </w:rPr>
              <w:t xml:space="preserve">精准打击：应能在多架（≥5架）同一品牌、同一工作频段、同一方位的无人机目标中，精准打击指定无人机，其它非指定无人机应正常控制飞行；</w:t>
            </w:r>
            <w:r/>
          </w:p>
          <w:p>
            <w:pPr>
              <w:numPr>
                <w:ilvl w:val="0"/>
                <w:numId w:val="0"/>
              </w:numPr>
              <w:jc w:val="left"/>
              <w:pageBreakBefore w:val="0"/>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应能在多架（≥2架）不同品牌（至少包含大疆、道通等品牌）、同一工作频段、同一方位的无人机目标中，精准打击指定无人机，其它非指定无人机应正常控制飞行。</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8.</w:t>
            </w:r>
            <w:r>
              <w:rPr>
                <w:rFonts w:hint="eastAsia" w:ascii="宋体" w:hAnsi="宋体" w:eastAsia="宋体" w:cs="宋体"/>
                <w:color w:val="auto"/>
                <w:sz w:val="24"/>
                <w:highlight w:val="none"/>
                <w:lang w:bidi="ar"/>
              </w:rPr>
              <w:t xml:space="preserve">干扰角度：水平方向 0°～360°</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9.</w:t>
            </w:r>
            <w:r>
              <w:rPr>
                <w:rFonts w:hint="eastAsia" w:ascii="宋体" w:hAnsi="宋体" w:eastAsia="宋体" w:cs="宋体"/>
                <w:color w:val="auto"/>
                <w:sz w:val="24"/>
                <w:highlight w:val="none"/>
                <w:lang w:bidi="ar"/>
              </w:rPr>
              <w:t xml:space="preserve">干扰成功率：≥99%</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10.</w:t>
            </w:r>
            <w:r>
              <w:rPr>
                <w:rFonts w:hint="eastAsia" w:ascii="宋体" w:hAnsi="宋体" w:eastAsia="宋体" w:cs="宋体"/>
                <w:color w:val="auto"/>
                <w:sz w:val="24"/>
                <w:highlight w:val="none"/>
                <w:lang w:bidi="ar"/>
              </w:rPr>
              <w:t xml:space="preserve">干扰响应时间：从发射干扰信号至无人机遥控器显示信号丢失所需的时间应≤2s</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11.</w:t>
            </w:r>
            <w:r>
              <w:rPr>
                <w:rFonts w:hint="eastAsia" w:ascii="宋体" w:hAnsi="宋体" w:eastAsia="宋体" w:cs="宋体"/>
                <w:color w:val="auto"/>
                <w:sz w:val="24"/>
                <w:highlight w:val="none"/>
                <w:lang w:val="en-US" w:eastAsia="zh-CN" w:bidi="ar"/>
              </w:rPr>
              <w:t xml:space="preserve">设备</w:t>
            </w:r>
            <w:r>
              <w:rPr>
                <w:rFonts w:hint="eastAsia" w:ascii="宋体" w:hAnsi="宋体" w:eastAsia="宋体" w:cs="宋体"/>
                <w:color w:val="auto"/>
                <w:sz w:val="24"/>
                <w:highlight w:val="none"/>
                <w:lang w:bidi="ar"/>
              </w:rPr>
              <w:t xml:space="preserve">能</w:t>
            </w:r>
            <w:r>
              <w:rPr>
                <w:rFonts w:hint="eastAsia" w:ascii="宋体" w:hAnsi="宋体" w:eastAsia="宋体" w:cs="宋体"/>
                <w:color w:val="auto"/>
                <w:sz w:val="24"/>
                <w:highlight w:val="none"/>
                <w:lang w:val="en-US" w:eastAsia="zh-CN" w:bidi="ar"/>
              </w:rPr>
              <w:t xml:space="preserve">接入</w:t>
            </w:r>
            <w:r>
              <w:rPr>
                <w:rFonts w:hint="eastAsia" w:ascii="宋体" w:hAnsi="宋体" w:eastAsia="宋体" w:cs="宋体"/>
                <w:color w:val="auto"/>
                <w:sz w:val="24"/>
                <w:highlight w:val="none"/>
                <w:lang w:bidi="ar"/>
              </w:rPr>
              <w:t xml:space="preserve">无人机管控平台使用，配合探测类设备进行使用</w:t>
            </w:r>
            <w:r>
              <w:rPr>
                <w:rFonts w:hint="eastAsia" w:ascii="宋体" w:hAnsi="宋体" w:eastAsia="宋体" w:cs="宋体"/>
                <w:b/>
                <w:bCs/>
                <w:color w:val="auto"/>
                <w:sz w:val="24"/>
                <w:highlight w:val="none"/>
                <w:lang w:val="en-US" w:eastAsia="zh-CN" w:bidi="ar"/>
              </w:rPr>
              <w:t xml:space="preserve">(支持同品牌，同型号组网）</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12.</w:t>
            </w:r>
            <w:r>
              <w:rPr>
                <w:rFonts w:hint="eastAsia" w:ascii="宋体" w:hAnsi="宋体" w:eastAsia="宋体" w:cs="宋体"/>
                <w:color w:val="auto"/>
                <w:sz w:val="24"/>
                <w:highlight w:val="none"/>
                <w:lang w:bidi="ar"/>
              </w:rPr>
              <w:t xml:space="preserve">功耗：≤1</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00W（开启全频段干扰），≤60W（待机状态）</w:t>
            </w:r>
            <w:r/>
          </w:p>
          <w:p>
            <w:pPr>
              <w:numPr>
                <w:ilvl w:val="0"/>
                <w:numId w:val="0"/>
              </w:numPr>
              <w:jc w:val="left"/>
              <w:pageBreakBefore w:val="0"/>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13.</w:t>
            </w:r>
            <w:r>
              <w:rPr>
                <w:rFonts w:hint="eastAsia" w:ascii="宋体" w:hAnsi="宋体" w:eastAsia="宋体" w:cs="宋体"/>
                <w:color w:val="auto"/>
                <w:sz w:val="24"/>
                <w:highlight w:val="none"/>
                <w:lang w:bidi="ar"/>
              </w:rPr>
              <w:t xml:space="preserve">电源适配：AC100V～240V</w:t>
            </w:r>
            <w:r/>
          </w:p>
          <w:p>
            <w:pPr>
              <w:spacing w:line="360" w:lineRule="auto"/>
              <w:widowControl/>
              <w:rPr>
                <w:rFonts w:hint="eastAsia" w:ascii="宋体" w:hAnsi="宋体" w:eastAsia="宋体" w:cstheme="minorBidi"/>
                <w:color w:val="auto"/>
                <w:sz w:val="24"/>
                <w:highlight w:val="none"/>
                <w:lang w:val="en-US" w:eastAsia="zh-CN"/>
              </w:rPr>
            </w:pPr>
            <w:r>
              <w:rPr>
                <w:rFonts w:hint="eastAsia" w:ascii="宋体" w:hAnsi="宋体" w:eastAsia="宋体" w:cs="宋体"/>
                <w:color w:val="auto"/>
                <w:sz w:val="24"/>
                <w:highlight w:val="none"/>
                <w:lang w:bidi="ar"/>
              </w:rPr>
              <w:t xml:space="preserve">▲防护等级：≥IP6</w:t>
            </w:r>
            <w:r>
              <w:rPr>
                <w:rFonts w:hint="eastAsia" w:ascii="宋体" w:hAnsi="宋体" w:eastAsia="宋体" w:cs="宋体"/>
                <w:color w:val="auto"/>
                <w:sz w:val="24"/>
                <w:highlight w:val="none"/>
                <w:lang w:val="en-US" w:eastAsia="zh-CN" w:bidi="ar"/>
              </w:rPr>
              <w:t xml:space="preserve">5</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tc>
      </w:tr>
      <w:tr>
        <w:trPr>
          <w:jc w:val="center"/>
        </w:trPr>
        <w:tc>
          <w:tcPr>
            <w:tcW w:w="38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836" w:type="pct"/>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eastAsia="宋体" w:cs="宋体" w:asciiTheme="minorEastAsia" w:hAnsiTheme="minorEastAsia"/>
                <w:color w:val="auto"/>
                <w:sz w:val="24"/>
                <w:highlight w:val="none"/>
                <w:lang w:val="en-US" w:eastAsia="zh-CN"/>
              </w:rPr>
              <w:t xml:space="preserve">手持式无人机侦测定位设备</w:t>
            </w:r>
            <w:r/>
          </w:p>
        </w:tc>
        <w:tc>
          <w:tcPr>
            <w:tcW w:w="3777" w:type="pct"/>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w:t>
            </w:r>
            <w:r>
              <w:rPr>
                <w:rFonts w:hint="eastAsia" w:ascii="宋体" w:hAnsi="宋体" w:eastAsia="宋体" w:cstheme="minorBidi"/>
                <w:color w:val="auto"/>
                <w:sz w:val="24"/>
                <w:highlight w:val="none"/>
                <w:lang w:bidi="ar"/>
              </w:rPr>
              <w:t xml:space="preserve">探测模式：无源探测，在探测状态下，不主动发射无线信号。</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2.</w:t>
            </w:r>
            <w:r>
              <w:rPr>
                <w:rFonts w:hint="eastAsia" w:ascii="宋体" w:hAnsi="宋体" w:eastAsia="宋体" w:cstheme="minorBidi"/>
                <w:color w:val="auto"/>
                <w:sz w:val="24"/>
                <w:highlight w:val="none"/>
                <w:lang w:bidi="ar"/>
              </w:rPr>
              <w:t xml:space="preserve">多监管融合功能：</w:t>
            </w:r>
            <w:r>
              <w:rPr>
                <w:rFonts w:hint="eastAsia" w:ascii="宋体" w:hAnsi="宋体" w:eastAsia="宋体" w:cstheme="minorBidi"/>
                <w:color w:val="auto"/>
                <w:sz w:val="24"/>
                <w:highlight w:val="none"/>
              </w:rPr>
              <w:t xml:space="preserve">具备频谱探测、RID探测、FPV实时图像解析、解码定位等多维度监管能力</w:t>
            </w:r>
            <w:r>
              <w:rPr>
                <w:rFonts w:hint="eastAsia" w:ascii="宋体" w:hAnsi="宋体" w:eastAsia="宋体" w:cstheme="minorBidi"/>
                <w:color w:val="auto"/>
                <w:sz w:val="24"/>
                <w:highlight w:val="none"/>
                <w:lang w:bidi="ar"/>
              </w:rPr>
              <w:t xml:space="preserve">。</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3.</w:t>
            </w:r>
            <w:r>
              <w:rPr>
                <w:rFonts w:hint="eastAsia" w:ascii="宋体" w:hAnsi="宋体" w:eastAsia="宋体" w:cstheme="minorBidi"/>
                <w:color w:val="auto"/>
                <w:sz w:val="24"/>
                <w:highlight w:val="none"/>
                <w:lang w:bidi="ar"/>
              </w:rPr>
              <w:t xml:space="preserve">探测频段：</w:t>
            </w:r>
            <w:r>
              <w:rPr>
                <w:rFonts w:hint="eastAsia" w:ascii="宋体" w:hAnsi="宋体" w:eastAsia="宋体" w:cstheme="minorBidi"/>
                <w:color w:val="auto"/>
                <w:sz w:val="24"/>
                <w:highlight w:val="none"/>
              </w:rPr>
              <w:t xml:space="preserve">100MHz～6GHz</w:t>
            </w:r>
            <w:r>
              <w:rPr>
                <w:rFonts w:hint="eastAsia" w:ascii="宋体" w:hAnsi="宋体" w:eastAsia="宋体" w:cstheme="minorBidi"/>
                <w:color w:val="auto"/>
                <w:sz w:val="24"/>
                <w:highlight w:val="none"/>
                <w:lang w:bidi="ar"/>
              </w:rPr>
              <w:t xml:space="preserve">。</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4.</w:t>
            </w:r>
            <w:r>
              <w:rPr>
                <w:rFonts w:hint="eastAsia" w:ascii="宋体" w:hAnsi="宋体" w:eastAsia="宋体" w:cstheme="minorBidi"/>
                <w:color w:val="auto"/>
                <w:sz w:val="24"/>
                <w:highlight w:val="none"/>
                <w:lang w:bidi="ar"/>
              </w:rPr>
              <w:t xml:space="preserve">重点探测频段：</w:t>
            </w:r>
            <w:r>
              <w:rPr>
                <w:rFonts w:hint="eastAsia" w:ascii="宋体" w:hAnsi="宋体" w:eastAsia="宋体" w:cstheme="minorBidi"/>
                <w:color w:val="auto"/>
                <w:sz w:val="24"/>
                <w:highlight w:val="none"/>
              </w:rPr>
              <w:t xml:space="preserve">包括333MHz、433MHz、840MHz、915MHz、1.1GHz、1.2GHz、1.4GHz、2.4GHz、5.2GHz、5.8GHz</w:t>
            </w:r>
            <w:r>
              <w:rPr>
                <w:rFonts w:hint="eastAsia" w:ascii="宋体" w:hAnsi="宋体" w:eastAsia="宋体" w:cstheme="minorBidi"/>
                <w:color w:val="auto"/>
                <w:sz w:val="24"/>
                <w:highlight w:val="none"/>
                <w:lang w:val="en-US" w:eastAsia="zh-CN"/>
              </w:rPr>
              <w:t xml:space="preserve">等</w:t>
            </w:r>
            <w:r>
              <w:rPr>
                <w:rFonts w:hint="eastAsia" w:ascii="宋体" w:hAnsi="宋体" w:eastAsia="宋体" w:cstheme="minorBidi"/>
                <w:color w:val="auto"/>
                <w:sz w:val="24"/>
                <w:highlight w:val="none"/>
              </w:rPr>
              <w:t xml:space="preserve">频段，并支持自定义修改。</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5.</w:t>
            </w:r>
            <w:r>
              <w:rPr>
                <w:rFonts w:hint="eastAsia" w:ascii="宋体" w:hAnsi="宋体" w:eastAsia="宋体" w:cstheme="minorBidi"/>
                <w:color w:val="auto"/>
                <w:sz w:val="24"/>
                <w:highlight w:val="none"/>
                <w:lang w:bidi="ar"/>
              </w:rPr>
              <w:t xml:space="preserve">探测</w:t>
            </w:r>
            <w:r>
              <w:rPr>
                <w:rFonts w:hint="eastAsia" w:ascii="宋体" w:hAnsi="宋体" w:eastAsia="宋体" w:cstheme="minorBidi"/>
                <w:color w:val="auto"/>
                <w:sz w:val="24"/>
                <w:highlight w:val="none"/>
                <w:lang w:val="en-US" w:eastAsia="zh-CN" w:bidi="ar"/>
              </w:rPr>
              <w:t xml:space="preserve">定位</w:t>
            </w:r>
            <w:r>
              <w:rPr>
                <w:rFonts w:hint="eastAsia" w:ascii="宋体" w:hAnsi="宋体" w:eastAsia="宋体" w:cstheme="minorBidi"/>
                <w:color w:val="auto"/>
                <w:sz w:val="24"/>
                <w:highlight w:val="none"/>
                <w:lang w:bidi="ar"/>
              </w:rPr>
              <w:t xml:space="preserve">距离：≥3km（开阔环境）；≥2km（城市环境）</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6.</w:t>
            </w:r>
            <w:r>
              <w:rPr>
                <w:rFonts w:hint="eastAsia" w:ascii="宋体" w:hAnsi="宋体" w:eastAsia="宋体" w:cstheme="minorBidi"/>
                <w:color w:val="auto"/>
                <w:sz w:val="24"/>
                <w:highlight w:val="none"/>
                <w:lang w:bidi="ar"/>
              </w:rPr>
              <w:t xml:space="preserve">探测高度：0</w:t>
            </w:r>
            <w:r>
              <w:rPr>
                <w:rFonts w:hint="eastAsia" w:ascii="宋体" w:hAnsi="宋体" w:eastAsia="宋体" w:cstheme="minorBidi"/>
                <w:color w:val="auto"/>
                <w:sz w:val="24"/>
                <w:highlight w:val="none"/>
              </w:rPr>
              <w:t xml:space="preserve">～</w:t>
            </w:r>
            <w:r>
              <w:rPr>
                <w:rFonts w:hint="eastAsia" w:ascii="宋体" w:hAnsi="宋体" w:eastAsia="宋体" w:cstheme="minorBidi"/>
                <w:color w:val="auto"/>
                <w:sz w:val="24"/>
                <w:highlight w:val="none"/>
                <w:lang w:bidi="ar"/>
              </w:rPr>
              <w:t xml:space="preserve">1000m</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7.</w:t>
            </w:r>
            <w:r>
              <w:rPr>
                <w:rFonts w:hint="eastAsia" w:ascii="宋体" w:hAnsi="宋体" w:eastAsia="宋体" w:cstheme="minorBidi"/>
                <w:color w:val="auto"/>
                <w:sz w:val="24"/>
                <w:highlight w:val="none"/>
                <w:lang w:bidi="ar"/>
              </w:rPr>
              <w:t xml:space="preserve">探测角度：水平360°，俯仰：-60°</w:t>
            </w:r>
            <w:r>
              <w:rPr>
                <w:rFonts w:hint="eastAsia" w:ascii="宋体" w:hAnsi="宋体" w:eastAsia="宋体" w:cstheme="minorBidi"/>
                <w:color w:val="auto"/>
                <w:sz w:val="24"/>
                <w:highlight w:val="none"/>
              </w:rPr>
              <w:t xml:space="preserve">～</w:t>
            </w:r>
            <w:r>
              <w:rPr>
                <w:rFonts w:hint="eastAsia" w:ascii="宋体" w:hAnsi="宋体" w:eastAsia="宋体" w:cstheme="minorBidi"/>
                <w:color w:val="auto"/>
                <w:sz w:val="24"/>
                <w:highlight w:val="none"/>
                <w:lang w:bidi="ar"/>
              </w:rPr>
              <w:t xml:space="preserve">90°。</w:t>
            </w:r>
            <w:r/>
          </w:p>
          <w:p>
            <w:pPr>
              <w:numPr>
                <w:ilvl w:val="0"/>
                <w:numId w:val="0"/>
              </w:numPr>
              <w:ind w:right="0"/>
              <w:jc w:val="left"/>
              <w:spacing w:line="360" w:lineRule="auto"/>
              <w:widowControl/>
              <w:rPr>
                <w:rFonts w:hint="eastAsia" w:ascii="宋体" w:hAnsi="宋体" w:eastAsia="宋体" w:cstheme="minorBidi"/>
                <w:color w:val="auto"/>
                <w:sz w:val="24"/>
                <w:highlight w:val="none"/>
                <w:lang w:eastAsia="zh-CN"/>
              </w:rPr>
            </w:pPr>
            <w:r>
              <w:rPr>
                <w:rFonts w:hint="default" w:ascii="宋体" w:hAnsi="宋体" w:eastAsia="宋体" w:cstheme="minorBidi"/>
                <w:color w:val="auto"/>
                <w:sz w:val="24"/>
                <w:szCs w:val="22"/>
                <w:highlight w:val="none"/>
                <w:lang w:val="en-US" w:eastAsia="zh-CN" w:bidi="ar-SA"/>
              </w:rPr>
              <w:t xml:space="preserve">8.</w:t>
            </w:r>
            <w:r>
              <w:rPr>
                <w:rFonts w:hint="eastAsia" w:ascii="宋体" w:hAnsi="宋体" w:eastAsia="宋体" w:cstheme="minorBidi"/>
                <w:color w:val="auto"/>
                <w:sz w:val="24"/>
                <w:highlight w:val="none"/>
              </w:rPr>
              <w:t xml:space="preserve">探测范围设置：应具备调整设备探测范围（500m～10000m）能力，对超出范围外的无人机不进行探测</w:t>
            </w:r>
            <w:r>
              <w:rPr>
                <w:rFonts w:hint="eastAsia" w:ascii="宋体" w:hAnsi="宋体" w:cstheme="minorBidi"/>
                <w:color w:val="auto"/>
                <w:sz w:val="24"/>
                <w:highlight w:val="none"/>
                <w:lang w:eastAsia="zh-CN"/>
              </w:rPr>
              <w:t xml:space="preserve">。</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9.</w:t>
            </w:r>
            <w:r>
              <w:rPr>
                <w:rFonts w:hint="eastAsia" w:ascii="宋体" w:hAnsi="宋体" w:eastAsia="宋体" w:cstheme="minorBidi"/>
                <w:color w:val="auto"/>
                <w:sz w:val="24"/>
                <w:highlight w:val="none"/>
                <w:lang w:bidi="ar"/>
              </w:rPr>
              <w:t xml:space="preserve">探测识别时间：≤3s</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10.</w:t>
            </w:r>
            <w:r>
              <w:rPr>
                <w:rFonts w:hint="eastAsia" w:ascii="宋体" w:hAnsi="宋体" w:eastAsia="宋体" w:cstheme="minorBidi"/>
                <w:color w:val="auto"/>
                <w:sz w:val="24"/>
                <w:highlight w:val="none"/>
              </w:rPr>
              <w:t xml:space="preserve">穿越机探测能力: 能对DIY穿越机进行探测识别，列表显示穿越机名称、频率等信息;并且能对FPV穿越机的模拟图传进行实时图像解析</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default" w:ascii="宋体" w:hAnsi="宋体" w:eastAsia="宋体" w:cs="宋体"/>
                <w:color w:val="auto"/>
                <w:sz w:val="24"/>
                <w:szCs w:val="22"/>
                <w:highlight w:val="none"/>
                <w:lang w:val="en-US" w:eastAsia="zh-CN" w:bidi="ar"/>
              </w:rPr>
              <w:t xml:space="preserve">11.</w:t>
            </w:r>
            <w:r>
              <w:rPr>
                <w:rFonts w:hint="eastAsia" w:ascii="宋体" w:hAnsi="宋体" w:eastAsia="宋体" w:cstheme="minorBidi"/>
                <w:color w:val="auto"/>
                <w:sz w:val="24"/>
                <w:highlight w:val="none"/>
                <w:lang w:bidi="ar"/>
              </w:rPr>
              <w:t xml:space="preserve">机型库机型数量：≥700个机型（</w:t>
            </w:r>
            <w:r>
              <w:rPr>
                <w:rFonts w:hint="eastAsia" w:ascii="宋体" w:hAnsi="宋体" w:eastAsia="宋体" w:cstheme="minorBidi"/>
                <w:color w:val="auto"/>
                <w:sz w:val="24"/>
                <w:highlight w:val="none"/>
              </w:rPr>
              <w:t xml:space="preserve">品牌数量≥15个，穿越机种类≥20种）</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ind w:right="0"/>
              <w:jc w:val="left"/>
              <w:spacing w:line="360" w:lineRule="auto"/>
              <w:widowControl/>
              <w:rPr>
                <w:rFonts w:hint="eastAsia" w:ascii="宋体" w:hAnsi="宋体" w:eastAsia="宋体" w:cstheme="minorBidi"/>
                <w:color w:val="auto"/>
                <w:sz w:val="24"/>
                <w:highlight w:val="none"/>
              </w:rPr>
            </w:pPr>
            <w:r>
              <w:rPr>
                <w:rFonts w:hint="default" w:ascii="宋体" w:hAnsi="宋体" w:eastAsia="宋体" w:cstheme="minorBidi"/>
                <w:color w:val="auto"/>
                <w:sz w:val="24"/>
                <w:szCs w:val="22"/>
                <w:highlight w:val="none"/>
                <w:lang w:val="en-US" w:eastAsia="zh-CN" w:bidi="ar-SA"/>
              </w:rPr>
              <w:t xml:space="preserve">12.</w:t>
            </w:r>
            <w:r>
              <w:rPr>
                <w:rFonts w:hint="eastAsia" w:ascii="宋体" w:hAnsi="宋体" w:eastAsia="宋体" w:cstheme="minorBidi"/>
                <w:color w:val="auto"/>
                <w:sz w:val="24"/>
                <w:highlight w:val="none"/>
                <w:lang w:bidi="ar"/>
              </w:rPr>
              <w:t xml:space="preserve">虚警率：</w:t>
            </w:r>
            <w:r>
              <w:rPr>
                <w:rFonts w:hint="eastAsia" w:ascii="宋体" w:hAnsi="宋体" w:eastAsia="宋体" w:cstheme="minorBidi"/>
                <w:color w:val="auto"/>
                <w:sz w:val="24"/>
                <w:highlight w:val="none"/>
              </w:rPr>
              <w:t xml:space="preserve">≤1次（1000次连续探测）</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13.</w:t>
            </w:r>
            <w:r>
              <w:rPr>
                <w:rFonts w:hint="eastAsia" w:ascii="宋体" w:hAnsi="宋体" w:eastAsia="宋体" w:cstheme="minorBidi"/>
                <w:color w:val="auto"/>
                <w:sz w:val="24"/>
                <w:highlight w:val="none"/>
                <w:lang w:bidi="ar"/>
              </w:rPr>
              <w:t xml:space="preserve">探测成功率：</w:t>
            </w:r>
            <w:r>
              <w:rPr>
                <w:rFonts w:hint="eastAsia" w:ascii="宋体" w:hAnsi="宋体" w:eastAsia="宋体" w:cstheme="minorBidi"/>
                <w:color w:val="auto"/>
                <w:sz w:val="24"/>
                <w:highlight w:val="none"/>
              </w:rPr>
              <w:t xml:space="preserve">≥99%</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14.</w:t>
            </w:r>
            <w:r>
              <w:rPr>
                <w:rFonts w:hint="eastAsia" w:ascii="宋体" w:hAnsi="宋体" w:eastAsia="宋体" w:cstheme="minorBidi"/>
                <w:color w:val="auto"/>
                <w:sz w:val="24"/>
                <w:highlight w:val="none"/>
                <w:lang w:bidi="ar"/>
              </w:rPr>
              <w:t xml:space="preserve">RID探测功能：</w:t>
            </w:r>
            <w:r>
              <w:rPr>
                <w:rFonts w:hint="eastAsia" w:ascii="宋体" w:hAnsi="宋体" w:eastAsia="宋体" w:cstheme="minorBidi"/>
                <w:color w:val="auto"/>
                <w:sz w:val="24"/>
                <w:highlight w:val="none"/>
              </w:rPr>
              <w:t xml:space="preserve">能对具备RID功能的无人机，通过解调RID获取无人机相关信息，包括SN号、型号、无人机位置和飞手位置等。探测距离≥1000m</w:t>
            </w:r>
            <w:r>
              <w:rPr>
                <w:rFonts w:hint="eastAsia" w:ascii="宋体" w:hAnsi="宋体" w:eastAsia="宋体" w:cstheme="minorBidi"/>
                <w:color w:val="auto"/>
                <w:sz w:val="24"/>
                <w:highlight w:val="none"/>
                <w:lang w:eastAsia="zh-CN"/>
              </w:rPr>
              <w:t xml:space="preserve">。</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15.</w:t>
            </w:r>
            <w:r>
              <w:rPr>
                <w:rFonts w:hint="eastAsia" w:ascii="宋体" w:hAnsi="宋体" w:eastAsia="宋体" w:cstheme="minorBidi"/>
                <w:color w:val="auto"/>
                <w:sz w:val="24"/>
                <w:highlight w:val="none"/>
                <w:lang w:bidi="ar"/>
              </w:rPr>
              <w:t xml:space="preserve">可同时定位无人机数量：</w:t>
            </w:r>
            <w:r>
              <w:rPr>
                <w:rFonts w:hint="eastAsia" w:ascii="宋体" w:hAnsi="宋体" w:eastAsia="宋体" w:cstheme="minorBidi"/>
                <w:color w:val="auto"/>
                <w:sz w:val="24"/>
                <w:highlight w:val="none"/>
              </w:rPr>
              <w:t xml:space="preserve">≥12个；</w:t>
            </w:r>
            <w:r>
              <w:rPr>
                <w:rFonts w:hint="eastAsia" w:ascii="宋体" w:hAnsi="宋体" w:eastAsia="宋体" w:cstheme="minorBidi"/>
                <w:color w:val="auto"/>
                <w:sz w:val="24"/>
                <w:highlight w:val="none"/>
                <w:lang w:bidi="ar"/>
              </w:rPr>
              <w:t xml:space="preserve">同时探测飞手数量：≥12个</w:t>
            </w:r>
            <w:r>
              <w:rPr>
                <w:rFonts w:hint="eastAsia" w:ascii="宋体" w:hAnsi="宋体" w:eastAsia="宋体" w:cstheme="minorBidi"/>
                <w:color w:val="auto"/>
                <w:sz w:val="24"/>
                <w:highlight w:val="none"/>
                <w:lang w:eastAsia="zh-CN" w:bidi="ar"/>
              </w:rPr>
              <w:t xml:space="preserve">；</w:t>
            </w:r>
            <w:r>
              <w:rPr>
                <w:rFonts w:hint="eastAsia" w:ascii="宋体" w:hAnsi="宋体" w:eastAsia="宋体" w:cstheme="minorBidi"/>
                <w:color w:val="auto"/>
                <w:sz w:val="24"/>
                <w:highlight w:val="none"/>
                <w:lang w:bidi="ar"/>
              </w:rPr>
              <w:t xml:space="preserve">同时显示无人机轨迹数量：≥12条</w:t>
            </w:r>
            <w:r>
              <w:rPr>
                <w:rFonts w:hint="eastAsia" w:ascii="宋体" w:hAnsi="宋体" w:eastAsia="宋体" w:cstheme="minorBidi"/>
                <w:color w:val="auto"/>
                <w:sz w:val="24"/>
                <w:highlight w:val="none"/>
                <w:lang w:eastAsia="zh-CN" w:bidi="ar"/>
              </w:rPr>
              <w:t xml:space="preserve">。</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16.</w:t>
            </w:r>
            <w:r>
              <w:rPr>
                <w:rFonts w:hint="eastAsia" w:ascii="宋体" w:hAnsi="宋体" w:eastAsia="宋体" w:cstheme="minorBidi"/>
                <w:color w:val="auto"/>
                <w:sz w:val="24"/>
                <w:highlight w:val="none"/>
                <w:lang w:bidi="ar"/>
              </w:rPr>
              <w:t xml:space="preserve">定位精度：无人机距离定位误差≤10m；无人机高度定位误差≤10m；飞手/遥控器距离定位误差≤10m；</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17.</w:t>
            </w:r>
            <w:r>
              <w:rPr>
                <w:rFonts w:hint="eastAsia" w:ascii="宋体" w:hAnsi="宋体" w:eastAsia="宋体" w:cstheme="minorBidi"/>
                <w:color w:val="auto"/>
                <w:sz w:val="24"/>
                <w:highlight w:val="none"/>
                <w:lang w:bidi="ar"/>
              </w:rPr>
              <w:t xml:space="preserve">定位显示功能：</w:t>
            </w:r>
            <w:r>
              <w:rPr>
                <w:rFonts w:hint="eastAsia" w:ascii="宋体" w:hAnsi="宋体" w:eastAsia="宋体" w:cstheme="minorBidi"/>
                <w:color w:val="auto"/>
                <w:sz w:val="24"/>
                <w:highlight w:val="none"/>
              </w:rPr>
              <w:t xml:space="preserve">能实时侦测并显示无人机及飞手的相关信息，包括型号、ID、频率、信号强度、无人机经纬度、无人机方位、无人机距离、飞手经纬度、飞手方位、飞手距离、无人机重量、最长飞行时间、控制距离、飞行速度、飞行高度、无人机实物图标。</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18.</w:t>
            </w:r>
            <w:r>
              <w:rPr>
                <w:rFonts w:hint="eastAsia" w:ascii="宋体" w:hAnsi="宋体" w:eastAsia="宋体" w:cstheme="minorBidi"/>
                <w:color w:val="auto"/>
                <w:sz w:val="24"/>
                <w:highlight w:val="none"/>
              </w:rPr>
              <w:t xml:space="preserve">多目标跳频跟踪功能：目标无人机工作频段变更后应自动跟踪识别为同一架次无人机，并在电子地图上显示为同一条轨迹，跳频跟踪目标数≥8架次</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19.</w:t>
            </w:r>
            <w:r>
              <w:rPr>
                <w:rFonts w:hint="eastAsia" w:ascii="宋体" w:hAnsi="宋体" w:eastAsia="宋体" w:cstheme="minorBidi"/>
                <w:color w:val="auto"/>
                <w:sz w:val="24"/>
                <w:highlight w:val="none"/>
              </w:rPr>
              <w:t xml:space="preserve">轨迹跟踪：能定位追踪并在电子地图上显示无人机的实时飞行轨迹。</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20.</w:t>
            </w:r>
            <w:r>
              <w:rPr>
                <w:rFonts w:hint="eastAsia" w:ascii="宋体" w:hAnsi="宋体" w:eastAsia="宋体" w:cstheme="minorBidi"/>
                <w:color w:val="auto"/>
                <w:sz w:val="24"/>
                <w:highlight w:val="none"/>
              </w:rPr>
              <w:t xml:space="preserve">目标位置导航功能：具有无人机位置导航功能，在探测列表中可一键规划搜寻无人机的路线；具有飞手（遥控器）位置导航功能，在探测列表中可一键规划搜寻飞手（遥控器）的路线。</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theme="minorBidi"/>
                <w:color w:val="auto"/>
                <w:sz w:val="24"/>
                <w:highlight w:val="none"/>
                <w:lang w:eastAsia="zh-CN" w:bidi="ar"/>
              </w:rPr>
            </w:pPr>
            <w:r>
              <w:rPr>
                <w:rFonts w:hint="default" w:ascii="宋体" w:hAnsi="宋体" w:eastAsia="宋体" w:cstheme="minorBidi"/>
                <w:color w:val="auto"/>
                <w:sz w:val="24"/>
                <w:szCs w:val="22"/>
                <w:highlight w:val="none"/>
                <w:lang w:val="en-US" w:eastAsia="zh-CN" w:bidi="ar"/>
              </w:rPr>
              <w:t xml:space="preserve">21.</w:t>
            </w:r>
            <w:r>
              <w:rPr>
                <w:rFonts w:hint="eastAsia" w:ascii="宋体" w:hAnsi="宋体" w:eastAsia="宋体" w:cstheme="minorBidi"/>
                <w:color w:val="auto"/>
                <w:sz w:val="24"/>
                <w:highlight w:val="none"/>
              </w:rPr>
              <w:t xml:space="preserve">入侵告警：探测到有无人机入侵预警区时，会进行声音、屏幕闪烁和振动告警。告警方式可在系统设置中选择</w:t>
            </w:r>
            <w:r>
              <w:rPr>
                <w:rFonts w:hint="eastAsia" w:ascii="宋体" w:hAnsi="宋体" w:cstheme="minorBidi"/>
                <w:color w:val="auto"/>
                <w:sz w:val="24"/>
                <w:highlight w:val="none"/>
                <w:lang w:eastAsia="zh-CN"/>
              </w:rPr>
              <w:t xml:space="preserve">。</w:t>
            </w:r>
            <w:r/>
          </w:p>
          <w:p>
            <w:pPr>
              <w:numPr>
                <w:ilvl w:val="0"/>
                <w:numId w:val="0"/>
              </w:num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default" w:ascii="宋体" w:hAnsi="宋体" w:eastAsia="宋体" w:cs="宋体"/>
                <w:color w:val="auto"/>
                <w:sz w:val="24"/>
                <w:szCs w:val="22"/>
                <w:highlight w:val="none"/>
                <w:lang w:val="en-US" w:eastAsia="zh-CN" w:bidi="ar"/>
              </w:rPr>
              <w:t xml:space="preserve">22.</w:t>
            </w:r>
            <w:r>
              <w:rPr>
                <w:rFonts w:hint="eastAsia" w:ascii="宋体" w:hAnsi="宋体" w:eastAsia="宋体" w:cstheme="minorBidi"/>
                <w:color w:val="auto"/>
                <w:sz w:val="24"/>
                <w:highlight w:val="none"/>
              </w:rPr>
              <w:t xml:space="preserve">即时取证功能：能对发现目标进行拍照，可在图库中查看，并且即时传送。</w:t>
            </w:r>
            <w:r>
              <w:rPr>
                <w:rFonts w:hint="eastAsia" w:ascii="宋体" w:hAnsi="宋体" w:cs="宋体"/>
                <w:b/>
                <w:color w:val="auto"/>
                <w:sz w:val="24"/>
                <w:szCs w:val="24"/>
                <w:highlight w:val="none"/>
              </w:rPr>
              <w:t xml:space="preserve">（投标文件中</w:t>
            </w:r>
            <w:r>
              <w:rPr>
                <w:rFonts w:hint="eastAsia" w:ascii="宋体" w:hAnsi="宋体" w:cs="宋体"/>
                <w:b/>
                <w:color w:val="auto"/>
                <w:sz w:val="24"/>
                <w:szCs w:val="24"/>
                <w:highlight w:val="none"/>
                <w:lang w:eastAsia="zh-CN"/>
              </w:rPr>
              <w:t xml:space="preserve">须</w:t>
            </w:r>
            <w:r>
              <w:rPr>
                <w:rFonts w:hint="eastAsia" w:ascii="宋体" w:hAnsi="宋体" w:cs="宋体"/>
                <w:b/>
                <w:color w:val="auto"/>
                <w:sz w:val="24"/>
                <w:szCs w:val="24"/>
                <w:highlight w:val="none"/>
              </w:rPr>
              <w:t xml:space="preserve">提供</w:t>
            </w:r>
            <w:r>
              <w:rPr>
                <w:rFonts w:hint="eastAsia" w:ascii="宋体" w:hAnsi="宋体" w:cs="宋体"/>
                <w:b/>
                <w:color w:val="auto"/>
                <w:sz w:val="24"/>
                <w:szCs w:val="24"/>
                <w:highlight w:val="none"/>
                <w:lang w:val="en-US" w:eastAsia="zh-CN"/>
              </w:rPr>
              <w:t xml:space="preserve">公安部</w:t>
            </w:r>
            <w:r>
              <w:rPr>
                <w:rFonts w:hint="eastAsia" w:ascii="宋体" w:hAnsi="宋体" w:cs="宋体"/>
                <w:b/>
                <w:color w:val="auto"/>
                <w:sz w:val="24"/>
                <w:szCs w:val="24"/>
                <w:highlight w:val="none"/>
              </w:rPr>
              <w:t xml:space="preserve">检测机构出具的检测报告扫描件并加</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盖公章）</w:t>
            </w:r>
            <w:r/>
          </w:p>
          <w:p>
            <w:pPr>
              <w:numPr>
                <w:ilvl w:val="0"/>
                <w:numId w:val="0"/>
              </w:numPr>
              <w:jc w:val="left"/>
              <w:spacing w:line="360" w:lineRule="auto"/>
              <w:widowControl/>
              <w:rPr>
                <w:rFonts w:hint="eastAsia" w:ascii="宋体" w:hAnsi="宋体" w:eastAsia="宋体" w:cstheme="minorBidi"/>
                <w:color w:val="auto"/>
                <w:sz w:val="24"/>
                <w:highlight w:val="none"/>
                <w:lang w:bidi="ar"/>
              </w:rPr>
            </w:pPr>
            <w:r>
              <w:rPr>
                <w:rFonts w:hint="default" w:ascii="宋体" w:hAnsi="宋体" w:eastAsia="宋体" w:cstheme="minorBidi"/>
                <w:color w:val="auto"/>
                <w:sz w:val="24"/>
                <w:szCs w:val="22"/>
                <w:highlight w:val="none"/>
                <w:lang w:val="en-US" w:eastAsia="zh-CN" w:bidi="ar"/>
              </w:rPr>
              <w:t xml:space="preserve">23.</w:t>
            </w:r>
            <w:r>
              <w:rPr>
                <w:rFonts w:hint="eastAsia" w:ascii="宋体" w:hAnsi="宋体" w:eastAsia="宋体" w:cstheme="minorBidi"/>
                <w:color w:val="auto"/>
                <w:sz w:val="24"/>
                <w:highlight w:val="none"/>
              </w:rPr>
              <w:t xml:space="preserve">方位引导功能：界面上以图标形式实时呈现设备所在位置，图标带有箭头标识，可随样品转动指向目标（飞手或无人机）所在方位</w:t>
            </w:r>
            <w:r/>
          </w:p>
          <w:p>
            <w:pPr>
              <w:numPr>
                <w:ilvl w:val="0"/>
                <w:numId w:val="0"/>
              </w:numPr>
              <w:jc w:val="left"/>
              <w:spacing w:line="360" w:lineRule="auto"/>
              <w:widowControl/>
              <w:rPr>
                <w:rFonts w:hint="eastAsia" w:ascii="宋体" w:hAnsi="宋体" w:eastAsia="宋体" w:cstheme="minorBidi"/>
                <w:color w:val="auto"/>
                <w:sz w:val="24"/>
                <w:highlight w:val="none"/>
                <w:lang w:eastAsia="zh-CN" w:bidi="ar"/>
              </w:rPr>
            </w:pPr>
            <w:r>
              <w:rPr>
                <w:rFonts w:hint="default" w:ascii="宋体" w:hAnsi="宋体" w:eastAsia="宋体" w:cstheme="minorBidi"/>
                <w:color w:val="auto"/>
                <w:sz w:val="24"/>
                <w:szCs w:val="22"/>
                <w:highlight w:val="none"/>
                <w:lang w:val="en-US" w:eastAsia="zh-CN" w:bidi="ar"/>
              </w:rPr>
              <w:t xml:space="preserve">24.</w:t>
            </w:r>
            <w:r>
              <w:rPr>
                <w:rFonts w:hint="eastAsia" w:ascii="宋体" w:hAnsi="宋体" w:eastAsia="宋体" w:cstheme="minorBidi"/>
                <w:color w:val="auto"/>
                <w:sz w:val="24"/>
                <w:highlight w:val="none"/>
              </w:rPr>
              <w:t xml:space="preserve">黑白名单：能对探测列表的无人机进行一键信任（加入白名单列表），系统探测到白名单无人机时不进行告警，并且能查看白名单列表并进行删除操作</w:t>
            </w:r>
            <w:r>
              <w:rPr>
                <w:rFonts w:hint="eastAsia" w:ascii="宋体" w:hAnsi="宋体" w:cstheme="minorBidi"/>
                <w:color w:val="auto"/>
                <w:sz w:val="24"/>
                <w:highlight w:val="none"/>
                <w:lang w:eastAsia="zh-CN"/>
              </w:rPr>
              <w:t xml:space="preserve">。</w:t>
            </w:r>
            <w:r/>
          </w:p>
          <w:p>
            <w:pPr>
              <w:numPr>
                <w:ilvl w:val="0"/>
                <w:numId w:val="0"/>
              </w:numPr>
              <w:ind w:right="0"/>
              <w:jc w:val="left"/>
              <w:spacing w:line="360" w:lineRule="auto"/>
              <w:widowControl/>
              <w:rPr>
                <w:rFonts w:hint="eastAsia"/>
                <w:color w:val="auto"/>
                <w:highlight w:val="none"/>
              </w:rPr>
            </w:pPr>
            <w:r>
              <w:rPr>
                <w:rFonts w:hint="default" w:ascii="宋体" w:hAnsi="宋体" w:eastAsia="宋体" w:cstheme="minorBidi"/>
                <w:color w:val="auto"/>
                <w:sz w:val="24"/>
                <w:szCs w:val="22"/>
                <w:highlight w:val="none"/>
                <w:lang w:val="en-US" w:eastAsia="zh-CN" w:bidi="ar"/>
              </w:rPr>
              <w:t xml:space="preserve">25.</w:t>
            </w:r>
            <w:r>
              <w:rPr>
                <w:rFonts w:hint="eastAsia" w:ascii="宋体" w:hAnsi="宋体" w:eastAsia="宋体" w:cstheme="minorBidi"/>
                <w:color w:val="auto"/>
                <w:sz w:val="24"/>
                <w:highlight w:val="none"/>
              </w:rPr>
              <w:t xml:space="preserve">设备定位功能：应具有北斗定位功能，能对自身位置进行定位。</w:t>
            </w:r>
            <w:r/>
          </w:p>
          <w:p>
            <w:pPr>
              <w:numPr>
                <w:ilvl w:val="0"/>
                <w:numId w:val="0"/>
              </w:numPr>
              <w:ind w:right="0"/>
              <w:jc w:val="left"/>
              <w:spacing w:line="360" w:lineRule="auto"/>
              <w:widowControl/>
              <w:rPr>
                <w:rFonts w:hint="eastAsia" w:ascii="宋体" w:hAnsi="宋体" w:eastAsia="宋体" w:cstheme="minorBidi"/>
                <w:color w:val="auto"/>
                <w:sz w:val="24"/>
                <w:highlight w:val="none"/>
                <w:lang w:eastAsia="zh-CN"/>
              </w:rPr>
            </w:pPr>
            <w:r>
              <w:rPr>
                <w:rFonts w:hint="eastAsia" w:ascii="宋体" w:hAnsi="宋体" w:eastAsia="宋体" w:cs="宋体"/>
                <w:color w:val="auto"/>
                <w:sz w:val="24"/>
                <w:highlight w:val="none"/>
                <w:lang w:bidi="ar"/>
              </w:rPr>
              <w:t xml:space="preserve">▲</w:t>
            </w:r>
            <w:r>
              <w:rPr>
                <w:rFonts w:hint="default" w:ascii="宋体" w:hAnsi="宋体" w:eastAsia="宋体" w:cstheme="minorBidi"/>
                <w:color w:val="auto"/>
                <w:sz w:val="24"/>
                <w:szCs w:val="22"/>
                <w:highlight w:val="none"/>
                <w:lang w:val="en-US" w:eastAsia="zh-CN" w:bidi="ar-SA"/>
              </w:rPr>
              <w:t xml:space="preserve">26.</w:t>
            </w:r>
            <w:r>
              <w:rPr>
                <w:rFonts w:hint="eastAsia" w:ascii="宋体" w:hAnsi="宋体" w:eastAsia="宋体" w:cs="宋体"/>
                <w:color w:val="auto"/>
                <w:sz w:val="24"/>
                <w:highlight w:val="none"/>
                <w:lang w:val="en-US" w:eastAsia="zh-CN" w:bidi="ar"/>
              </w:rPr>
              <w:t xml:space="preserve">设备</w:t>
            </w:r>
            <w:r>
              <w:rPr>
                <w:rFonts w:hint="eastAsia" w:ascii="宋体" w:hAnsi="宋体" w:eastAsia="宋体" w:cs="宋体"/>
                <w:color w:val="auto"/>
                <w:sz w:val="24"/>
                <w:highlight w:val="none"/>
                <w:lang w:bidi="ar"/>
              </w:rPr>
              <w:t xml:space="preserve">能</w:t>
            </w:r>
            <w:r>
              <w:rPr>
                <w:rFonts w:hint="eastAsia" w:ascii="宋体" w:hAnsi="宋体" w:eastAsia="宋体" w:cs="宋体"/>
                <w:color w:val="auto"/>
                <w:sz w:val="24"/>
                <w:highlight w:val="none"/>
                <w:lang w:val="en-US" w:eastAsia="zh-CN" w:bidi="ar"/>
              </w:rPr>
              <w:t xml:space="preserve">接入</w:t>
            </w:r>
            <w:r>
              <w:rPr>
                <w:rFonts w:hint="eastAsia" w:ascii="宋体" w:hAnsi="宋体" w:eastAsia="宋体" w:cs="宋体"/>
                <w:color w:val="auto"/>
                <w:sz w:val="24"/>
                <w:highlight w:val="none"/>
                <w:lang w:bidi="ar"/>
              </w:rPr>
              <w:t xml:space="preserve">无人机管控平台使用</w:t>
            </w:r>
            <w:r>
              <w:rPr>
                <w:rFonts w:hint="eastAsia" w:ascii="宋体" w:hAnsi="宋体" w:cs="宋体"/>
                <w:color w:val="auto"/>
                <w:sz w:val="24"/>
                <w:highlight w:val="none"/>
                <w:lang w:eastAsia="zh-CN" w:bidi="ar"/>
              </w:rPr>
              <w:t xml:space="preserve">。</w:t>
            </w:r>
            <w:r/>
          </w:p>
          <w:p>
            <w:pPr>
              <w:numPr>
                <w:ilvl w:val="0"/>
                <w:numId w:val="0"/>
              </w:numPr>
              <w:ind w:right="0"/>
              <w:jc w:val="left"/>
              <w:spacing w:line="360" w:lineRule="auto"/>
              <w:widowControl/>
              <w:rPr>
                <w:rFonts w:hint="eastAsia" w:ascii="宋体" w:hAnsi="宋体" w:eastAsia="宋体" w:cstheme="minorBidi"/>
                <w:color w:val="auto"/>
                <w:sz w:val="24"/>
                <w:highlight w:val="none"/>
              </w:rPr>
            </w:pPr>
            <w:r>
              <w:rPr>
                <w:rFonts w:hint="default" w:ascii="宋体" w:hAnsi="宋体" w:eastAsia="宋体" w:cstheme="minorBidi"/>
                <w:color w:val="auto"/>
                <w:sz w:val="24"/>
                <w:szCs w:val="22"/>
                <w:highlight w:val="none"/>
                <w:lang w:val="en-US" w:eastAsia="zh-CN" w:bidi="ar-SA"/>
              </w:rPr>
              <w:t xml:space="preserve">27.</w:t>
            </w:r>
            <w:r>
              <w:rPr>
                <w:rFonts w:hint="eastAsia" w:ascii="宋体" w:hAnsi="宋体" w:eastAsia="宋体" w:cstheme="minorBidi"/>
                <w:color w:val="auto"/>
                <w:sz w:val="24"/>
                <w:highlight w:val="none"/>
              </w:rPr>
              <w:t xml:space="preserve">续航时间：≥4h</w:t>
            </w:r>
            <w:r/>
          </w:p>
          <w:p>
            <w:pPr>
              <w:numPr>
                <w:ilvl w:val="0"/>
                <w:numId w:val="0"/>
              </w:numPr>
              <w:ind w:right="0"/>
              <w:jc w:val="left"/>
              <w:spacing w:line="360" w:lineRule="auto"/>
              <w:widowControl/>
              <w:rPr>
                <w:rFonts w:hint="eastAsia" w:ascii="宋体" w:hAnsi="宋体" w:eastAsia="宋体" w:cstheme="minorBidi"/>
                <w:color w:val="auto"/>
                <w:sz w:val="24"/>
                <w:highlight w:val="none"/>
              </w:rPr>
            </w:pPr>
            <w:r>
              <w:rPr>
                <w:rFonts w:hint="default" w:ascii="宋体" w:hAnsi="宋体" w:eastAsia="宋体" w:cstheme="minorBidi"/>
                <w:color w:val="auto"/>
                <w:sz w:val="24"/>
                <w:szCs w:val="22"/>
                <w:highlight w:val="none"/>
                <w:lang w:val="en-US" w:eastAsia="zh-CN" w:bidi="ar-SA"/>
              </w:rPr>
              <w:t xml:space="preserve">28.</w:t>
            </w:r>
            <w:r>
              <w:rPr>
                <w:rFonts w:hint="eastAsia" w:ascii="宋体" w:hAnsi="宋体" w:eastAsia="宋体" w:cstheme="minorBidi"/>
                <w:color w:val="auto"/>
                <w:sz w:val="24"/>
                <w:highlight w:val="none"/>
                <w:lang w:bidi="ar"/>
              </w:rPr>
              <w:t xml:space="preserve">工作温度：-20℃</w:t>
            </w:r>
            <w:r>
              <w:rPr>
                <w:rFonts w:hint="eastAsia" w:ascii="宋体" w:hAnsi="宋体" w:eastAsia="宋体" w:cstheme="minorBidi"/>
                <w:color w:val="auto"/>
                <w:sz w:val="24"/>
                <w:highlight w:val="none"/>
              </w:rPr>
              <w:t xml:space="preserve">～</w:t>
            </w:r>
            <w:r>
              <w:rPr>
                <w:rFonts w:hint="eastAsia" w:ascii="宋体" w:hAnsi="宋体" w:eastAsia="宋体" w:cstheme="minorBidi"/>
                <w:color w:val="auto"/>
                <w:sz w:val="24"/>
                <w:highlight w:val="none"/>
                <w:lang w:bidi="ar"/>
              </w:rPr>
              <w:t xml:space="preserve">+40℃。</w:t>
            </w:r>
            <w:r/>
          </w:p>
          <w:p>
            <w:pPr>
              <w:numPr>
                <w:ilvl w:val="0"/>
                <w:numId w:val="0"/>
              </w:numPr>
              <w:ind w:right="0"/>
              <w:jc w:val="left"/>
              <w:spacing w:line="360" w:lineRule="auto"/>
              <w:widowControl/>
              <w:rPr>
                <w:rFonts w:hint="eastAsia" w:ascii="宋体" w:hAnsi="宋体" w:eastAsia="宋体" w:cstheme="minorBidi"/>
                <w:color w:val="auto"/>
                <w:sz w:val="24"/>
                <w:highlight w:val="none"/>
              </w:rPr>
            </w:pPr>
            <w:r>
              <w:rPr>
                <w:rFonts w:hint="default" w:ascii="宋体" w:hAnsi="宋体" w:eastAsia="宋体" w:cstheme="minorBidi"/>
                <w:color w:val="auto"/>
                <w:sz w:val="24"/>
                <w:szCs w:val="22"/>
                <w:highlight w:val="none"/>
                <w:lang w:val="en-US" w:eastAsia="zh-CN" w:bidi="ar-SA"/>
              </w:rPr>
              <w:t xml:space="preserve">29.</w:t>
            </w:r>
            <w:r>
              <w:rPr>
                <w:rFonts w:hint="eastAsia" w:ascii="宋体" w:hAnsi="宋体" w:eastAsia="宋体" w:cstheme="minorBidi"/>
                <w:color w:val="auto"/>
                <w:sz w:val="24"/>
                <w:highlight w:val="none"/>
                <w:lang w:bidi="ar"/>
              </w:rPr>
              <w:t xml:space="preserve">环境电场强度满足GB 8702-2014《电磁环境控制限制》中限制和评价方法的规定。</w:t>
            </w:r>
            <w:r/>
          </w:p>
          <w:p>
            <w:pPr>
              <w:numPr>
                <w:ilvl w:val="0"/>
                <w:numId w:val="0"/>
              </w:numPr>
              <w:jc w:val="left"/>
              <w:keepLines w:val="0"/>
              <w:keepNext w:val="0"/>
              <w:pageBreakBefore w:val="0"/>
              <w:spacing w:line="360" w:lineRule="auto"/>
              <w:widowControl/>
              <w:rPr>
                <w:rFonts w:hint="eastAsia" w:ascii="宋体" w:hAnsi="宋体" w:eastAsia="宋体" w:cstheme="minorBidi"/>
                <w:color w:val="auto"/>
                <w:sz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30.</w:t>
            </w:r>
            <w:r>
              <w:rPr>
                <w:rFonts w:hint="eastAsia" w:ascii="宋体" w:hAnsi="宋体" w:eastAsia="宋体" w:cstheme="minorBidi"/>
                <w:color w:val="auto"/>
                <w:sz w:val="24"/>
                <w:highlight w:val="none"/>
                <w:lang w:bidi="ar"/>
              </w:rPr>
              <w:t xml:space="preserve">屏幕尺寸：≥6英寸</w:t>
            </w:r>
            <w:r/>
          </w:p>
        </w:tc>
      </w:tr>
      <w:tr>
        <w:trPr>
          <w:jc w:val="center"/>
        </w:trPr>
        <w:tc>
          <w:tcPr>
            <w:tcW w:w="38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836" w:type="pct"/>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eastAsia="宋体" w:cs="宋体" w:asciiTheme="minorEastAsia" w:hAnsiTheme="minorEastAsia"/>
                <w:color w:val="auto"/>
                <w:sz w:val="24"/>
                <w:highlight w:val="none"/>
                <w:lang w:val="en-US" w:eastAsia="zh-CN"/>
              </w:rPr>
              <w:t xml:space="preserve">低空</w:t>
            </w:r>
            <w:r>
              <w:rPr>
                <w:rFonts w:hint="eastAsia" w:eastAsia="宋体" w:cs="宋体" w:asciiTheme="minorEastAsia" w:hAnsiTheme="minorEastAsia"/>
                <w:color w:val="auto"/>
                <w:sz w:val="24"/>
                <w:highlight w:val="none"/>
              </w:rPr>
              <w:t xml:space="preserve">监管</w:t>
            </w:r>
            <w:r>
              <w:rPr>
                <w:rFonts w:hint="eastAsia" w:eastAsia="宋体" w:cs="宋体" w:asciiTheme="minorEastAsia" w:hAnsiTheme="minorEastAsia"/>
                <w:color w:val="auto"/>
                <w:sz w:val="24"/>
                <w:highlight w:val="none"/>
                <w:lang w:val="en-US" w:eastAsia="zh-CN"/>
              </w:rPr>
              <w:t xml:space="preserve">平台</w:t>
            </w:r>
            <w:r/>
          </w:p>
        </w:tc>
        <w:tc>
          <w:tcPr>
            <w:tcW w:w="3777" w:type="pct"/>
            <w:vAlign w:val="center"/>
            <w:textDirection w:val="lrTb"/>
            <w:noWrap w:val="false"/>
          </w:tcPr>
          <w:p>
            <w:pPr>
              <w:spacing w:line="360" w:lineRule="auto"/>
              <w:rPr>
                <w:rFonts w:hint="eastAsia"/>
                <w:b w:val="0"/>
                <w:bCs w:val="0"/>
                <w:color w:val="auto"/>
                <w:sz w:val="24"/>
                <w:highlight w:val="none"/>
              </w:rPr>
            </w:pPr>
            <w:r>
              <w:rPr>
                <w:rFonts w:hint="eastAsia"/>
                <w:b w:val="0"/>
                <w:bCs w:val="0"/>
                <w:color w:val="auto"/>
                <w:sz w:val="24"/>
                <w:highlight w:val="none"/>
              </w:rPr>
              <w:t xml:space="preserve">1、具备通感基础功能：</w:t>
            </w:r>
            <w:r/>
          </w:p>
          <w:p>
            <w:pPr>
              <w:spacing w:line="360" w:lineRule="auto"/>
              <w:rPr>
                <w:rFonts w:hint="eastAsia"/>
                <w:color w:val="auto"/>
                <w:sz w:val="24"/>
                <w:highlight w:val="none"/>
              </w:rPr>
            </w:pPr>
            <w:r>
              <w:rPr>
                <w:rFonts w:hint="eastAsia"/>
                <w:color w:val="auto"/>
                <w:sz w:val="24"/>
                <w:highlight w:val="none"/>
              </w:rPr>
              <w:t xml:space="preserve">（1）支持绘制禁飞区和适飞区；支持在地图绘制圆或多边形空域；支持展示空域名称、类型、高度区间、和时间；支持在地图上叠加空域图层</w:t>
            </w:r>
            <w:r>
              <w:rPr>
                <w:rFonts w:hint="eastAsia"/>
                <w:b/>
                <w:bCs/>
                <w:color w:val="auto"/>
                <w:sz w:val="24"/>
                <w:highlight w:val="none"/>
              </w:rPr>
              <w:t xml:space="preserve">（提供平台软件功能截图证明）</w:t>
            </w:r>
            <w:r/>
          </w:p>
          <w:p>
            <w:pPr>
              <w:spacing w:line="360" w:lineRule="auto"/>
              <w:rPr>
                <w:rFonts w:hint="eastAsia" w:eastAsia="宋体"/>
                <w:color w:val="auto"/>
                <w:sz w:val="24"/>
                <w:highlight w:val="none"/>
                <w:lang w:eastAsia="zh-CN"/>
              </w:rPr>
            </w:pPr>
            <w:r>
              <w:rPr>
                <w:rFonts w:hint="eastAsia"/>
                <w:color w:val="auto"/>
                <w:sz w:val="24"/>
                <w:highlight w:val="none"/>
              </w:rPr>
              <w:t xml:space="preserve">（2）支持地图展示探测设备、光电、探测目标、合作无人机位置及其信息</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（3）支持通过飞行记录数据对其探测数据进行回溯和精度计算</w:t>
            </w:r>
            <w:r>
              <w:rPr>
                <w:rFonts w:hint="eastAsia"/>
                <w:color w:val="auto"/>
                <w:sz w:val="24"/>
                <w:highlight w:val="none"/>
                <w:lang w:eastAsia="zh-CN"/>
              </w:rPr>
              <w:t xml:space="preserve">。</w:t>
            </w:r>
            <w:r/>
          </w:p>
          <w:p>
            <w:pPr>
              <w:spacing w:line="360" w:lineRule="auto"/>
              <w:rPr>
                <w:rFonts w:hint="eastAsia" w:eastAsia="宋体"/>
                <w:color w:val="auto"/>
                <w:highlight w:val="none"/>
                <w:lang w:eastAsia="zh-CN"/>
              </w:rPr>
            </w:pPr>
            <w:r>
              <w:rPr>
                <w:rFonts w:hint="eastAsia"/>
                <w:color w:val="auto"/>
                <w:sz w:val="24"/>
                <w:highlight w:val="none"/>
              </w:rPr>
              <w:t xml:space="preserve">（4）对在适飞区以外和闯入禁飞区的探测目标进行告警</w:t>
            </w:r>
            <w:r>
              <w:rPr>
                <w:rFonts w:hint="eastAsia"/>
                <w:color w:val="auto"/>
                <w:sz w:val="24"/>
                <w:highlight w:val="none"/>
                <w:lang w:eastAsia="zh-CN"/>
              </w:rPr>
              <w:t xml:space="preserve">。</w:t>
            </w:r>
            <w:r/>
          </w:p>
          <w:p>
            <w:pPr>
              <w:spacing w:line="360" w:lineRule="auto"/>
              <w:rPr>
                <w:rFonts w:hint="eastAsia"/>
                <w:b w:val="0"/>
                <w:bCs w:val="0"/>
                <w:color w:val="auto"/>
                <w:sz w:val="24"/>
                <w:highlight w:val="none"/>
              </w:rPr>
            </w:pPr>
            <w:r>
              <w:rPr>
                <w:rFonts w:hint="eastAsia"/>
                <w:b w:val="0"/>
                <w:bCs w:val="0"/>
                <w:color w:val="auto"/>
                <w:sz w:val="24"/>
                <w:highlight w:val="none"/>
              </w:rPr>
              <w:t xml:space="preserve">2、黑飞监测及雷视联动功能：</w:t>
            </w:r>
            <w:r/>
          </w:p>
          <w:p>
            <w:pPr>
              <w:spacing w:line="360" w:lineRule="auto"/>
              <w:rPr>
                <w:rFonts w:hint="eastAsia" w:eastAsia="宋体"/>
                <w:color w:val="auto"/>
                <w:sz w:val="24"/>
                <w:highlight w:val="none"/>
                <w:lang w:eastAsia="zh-CN"/>
              </w:rPr>
            </w:pPr>
            <w:r>
              <w:rPr>
                <w:rFonts w:hint="eastAsia"/>
                <w:color w:val="auto"/>
                <w:sz w:val="24"/>
                <w:highlight w:val="none"/>
              </w:rPr>
              <w:t xml:space="preserve">（1）平台收到</w:t>
            </w:r>
            <w:r>
              <w:rPr>
                <w:rFonts w:hint="eastAsia"/>
                <w:color w:val="auto"/>
                <w:sz w:val="24"/>
                <w:highlight w:val="none"/>
                <w:lang w:val="en-US" w:eastAsia="zh-CN"/>
              </w:rPr>
              <w:t xml:space="preserve">设备</w:t>
            </w:r>
            <w:r>
              <w:rPr>
                <w:rFonts w:hint="eastAsia"/>
                <w:color w:val="auto"/>
                <w:sz w:val="24"/>
                <w:highlight w:val="none"/>
              </w:rPr>
              <w:t xml:space="preserve">上报目标探测位置数据后，当用户点选跟踪目标，摄像头将根据探测的位置数据，将摄像头视角移动至大致方位</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（2）基于摄像头对闯入飞行器进行区分（鸟/无人机）</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（3）基于摄像头对闯入飞行器进行视觉跟踪，并进行拍照取证</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（4）对探测空域内黑飞无人机进行监测过滤</w:t>
            </w:r>
            <w:r>
              <w:rPr>
                <w:rFonts w:hint="eastAsia"/>
                <w:color w:val="auto"/>
                <w:sz w:val="24"/>
                <w:highlight w:val="none"/>
                <w:lang w:eastAsia="zh-CN"/>
              </w:rPr>
              <w:t xml:space="preserve">。</w:t>
            </w:r>
            <w:r/>
          </w:p>
          <w:p>
            <w:pPr>
              <w:spacing w:line="360" w:lineRule="auto"/>
              <w:rPr>
                <w:rFonts w:hint="eastAsia"/>
                <w:b w:val="0"/>
                <w:bCs w:val="0"/>
                <w:color w:val="auto"/>
                <w:sz w:val="24"/>
                <w:highlight w:val="none"/>
              </w:rPr>
            </w:pPr>
            <w:r>
              <w:rPr>
                <w:rFonts w:hint="eastAsia"/>
                <w:b w:val="0"/>
                <w:bCs w:val="0"/>
                <w:color w:val="auto"/>
                <w:sz w:val="24"/>
                <w:highlight w:val="none"/>
              </w:rPr>
              <w:t xml:space="preserve">3、设备管理功能：</w:t>
            </w:r>
            <w:r/>
          </w:p>
          <w:p>
            <w:pPr>
              <w:spacing w:line="360" w:lineRule="auto"/>
              <w:rPr>
                <w:rFonts w:hint="eastAsia" w:eastAsia="宋体"/>
                <w:color w:val="auto"/>
                <w:sz w:val="24"/>
                <w:highlight w:val="none"/>
                <w:lang w:eastAsia="zh-CN"/>
              </w:rPr>
            </w:pPr>
            <w:r>
              <w:rPr>
                <w:rFonts w:hint="eastAsia"/>
                <w:color w:val="auto"/>
                <w:sz w:val="24"/>
                <w:highlight w:val="none"/>
              </w:rPr>
              <w:t xml:space="preserve">（1）支持、多种探测技术手段融合探测实时跟踪无人机轨迹</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（2）支持与不同厂家</w:t>
            </w:r>
            <w:r>
              <w:rPr>
                <w:rFonts w:hint="eastAsia"/>
                <w:color w:val="auto"/>
                <w:sz w:val="24"/>
                <w:highlight w:val="none"/>
                <w:lang w:val="en-US" w:eastAsia="zh-CN"/>
              </w:rPr>
              <w:t xml:space="preserve">低慢小目标侦测设备的</w:t>
            </w:r>
            <w:r>
              <w:rPr>
                <w:rFonts w:hint="eastAsia"/>
                <w:color w:val="auto"/>
                <w:sz w:val="24"/>
                <w:highlight w:val="none"/>
              </w:rPr>
              <w:t xml:space="preserve">探测轨迹数据对接并显示。</w:t>
            </w:r>
            <w:r/>
          </w:p>
          <w:p>
            <w:pPr>
              <w:spacing w:line="360" w:lineRule="auto"/>
              <w:rPr>
                <w:rFonts w:hint="eastAsia" w:eastAsia="宋体"/>
                <w:color w:val="auto"/>
                <w:sz w:val="24"/>
                <w:highlight w:val="none"/>
                <w:lang w:eastAsia="zh-CN"/>
              </w:rPr>
            </w:pPr>
            <w:r>
              <w:rPr>
                <w:rFonts w:hint="eastAsia"/>
                <w:color w:val="auto"/>
                <w:sz w:val="24"/>
                <w:highlight w:val="none"/>
              </w:rPr>
              <w:t xml:space="preserve">（3）支持对</w:t>
            </w:r>
            <w:r>
              <w:rPr>
                <w:rFonts w:hint="eastAsia"/>
                <w:color w:val="auto"/>
                <w:sz w:val="24"/>
                <w:highlight w:val="none"/>
                <w:lang w:val="en-US" w:eastAsia="zh-CN"/>
              </w:rPr>
              <w:t xml:space="preserve">设备及</w:t>
            </w:r>
            <w:r>
              <w:rPr>
                <w:rFonts w:hint="eastAsia"/>
                <w:color w:val="auto"/>
                <w:sz w:val="24"/>
                <w:highlight w:val="none"/>
              </w:rPr>
              <w:t xml:space="preserve">摄像头管理</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（4）支持</w:t>
            </w:r>
            <w:r>
              <w:rPr>
                <w:rFonts w:hint="eastAsia"/>
                <w:color w:val="auto"/>
                <w:sz w:val="24"/>
                <w:highlight w:val="none"/>
                <w:lang w:val="en-US" w:eastAsia="zh-CN"/>
              </w:rPr>
              <w:t xml:space="preserve">设备</w:t>
            </w:r>
            <w:r>
              <w:rPr>
                <w:rFonts w:hint="eastAsia"/>
                <w:color w:val="auto"/>
                <w:sz w:val="24"/>
                <w:highlight w:val="none"/>
              </w:rPr>
              <w:t xml:space="preserve">导入、删除、导出、查看详情等</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（5）支持根据名称进行模糊搜索</w:t>
            </w:r>
            <w:r>
              <w:rPr>
                <w:rFonts w:hint="eastAsia"/>
                <w:color w:val="auto"/>
                <w:sz w:val="24"/>
                <w:highlight w:val="none"/>
                <w:lang w:eastAsia="zh-CN"/>
              </w:rPr>
              <w:t xml:space="preserve">。</w:t>
            </w:r>
            <w:r/>
          </w:p>
          <w:p>
            <w:pPr>
              <w:spacing w:line="360" w:lineRule="auto"/>
              <w:rPr>
                <w:rFonts w:hint="eastAsia" w:eastAsiaTheme="minorEastAsia"/>
                <w:color w:val="auto"/>
                <w:sz w:val="24"/>
                <w:highlight w:val="none"/>
                <w:lang w:val="en-US" w:eastAsia="zh-CN"/>
              </w:rPr>
            </w:pPr>
            <w:r>
              <w:rPr>
                <w:rFonts w:hint="eastAsia"/>
                <w:color w:val="auto"/>
                <w:sz w:val="24"/>
                <w:highlight w:val="none"/>
              </w:rPr>
              <w:t xml:space="preserve">（6）支持导入</w:t>
            </w:r>
            <w:r>
              <w:rPr>
                <w:rFonts w:hint="eastAsia"/>
                <w:color w:val="auto"/>
                <w:sz w:val="24"/>
                <w:highlight w:val="none"/>
                <w:lang w:val="en-US" w:eastAsia="zh-CN"/>
              </w:rPr>
              <w:t xml:space="preserve">设备</w:t>
            </w:r>
            <w:r>
              <w:rPr>
                <w:rFonts w:hint="eastAsia"/>
                <w:color w:val="auto"/>
                <w:sz w:val="24"/>
                <w:highlight w:val="none"/>
              </w:rPr>
              <w:t xml:space="preserve">参数，信息如下：名称、编号、探测半径、朝向、水平扇形角度、下倾角、垂直扇形角度、经度、纬度、地面海拔高度</w:t>
            </w:r>
            <w:r>
              <w:rPr>
                <w:rFonts w:hint="eastAsia"/>
                <w:color w:val="auto"/>
                <w:sz w:val="24"/>
                <w:highlight w:val="none"/>
                <w:lang w:val="en-US" w:eastAsia="zh-CN"/>
              </w:rPr>
              <w:t xml:space="preserve">等。</w:t>
            </w:r>
            <w:r/>
          </w:p>
          <w:p>
            <w:pPr>
              <w:spacing w:line="360" w:lineRule="auto"/>
              <w:rPr>
                <w:rFonts w:hint="eastAsia" w:eastAsia="宋体"/>
                <w:color w:val="auto"/>
                <w:sz w:val="24"/>
                <w:highlight w:val="none"/>
                <w:lang w:eastAsia="zh-CN"/>
              </w:rPr>
            </w:pPr>
            <w:r>
              <w:rPr>
                <w:rFonts w:hint="eastAsia"/>
                <w:color w:val="auto"/>
                <w:sz w:val="24"/>
                <w:highlight w:val="none"/>
              </w:rPr>
              <w:t xml:space="preserve">（7）支持列表管理：详情、导出、删除</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（8）支持与光电摄像头实时联动</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（9）支持摄像头导入、删除、导出、查看详情</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（10）支持根据摄像头名称进行模糊搜索</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（11）支持摄像头列表管理：详情、导出、删除</w:t>
            </w:r>
            <w:r>
              <w:rPr>
                <w:rFonts w:hint="eastAsia"/>
                <w:color w:val="auto"/>
                <w:sz w:val="24"/>
                <w:highlight w:val="none"/>
                <w:lang w:eastAsia="zh-CN"/>
              </w:rPr>
              <w:t xml:space="preserve">。</w:t>
            </w:r>
            <w:r/>
          </w:p>
          <w:p>
            <w:pPr>
              <w:spacing w:line="360" w:lineRule="auto"/>
              <w:rPr>
                <w:rFonts w:hint="eastAsia"/>
                <w:color w:val="auto"/>
                <w:sz w:val="24"/>
                <w:highlight w:val="none"/>
              </w:rPr>
            </w:pPr>
            <w:r>
              <w:rPr>
                <w:rFonts w:hint="eastAsia"/>
                <w:color w:val="auto"/>
                <w:sz w:val="24"/>
                <w:highlight w:val="none"/>
              </w:rPr>
              <w:t xml:space="preserve">（12）支持接入并显示十家以上品牌的RID、AOA、TDOA、协议破解、雷达、诱骗、干扰、光电等设备。</w:t>
            </w:r>
            <w:r/>
          </w:p>
          <w:p>
            <w:pPr>
              <w:spacing w:line="360" w:lineRule="auto"/>
              <w:rPr>
                <w:rFonts w:hint="eastAsia"/>
                <w:b w:val="0"/>
                <w:bCs w:val="0"/>
                <w:color w:val="auto"/>
                <w:sz w:val="24"/>
                <w:highlight w:val="none"/>
              </w:rPr>
            </w:pPr>
            <w:r>
              <w:rPr>
                <w:rFonts w:hint="eastAsia"/>
                <w:b w:val="0"/>
                <w:bCs w:val="0"/>
                <w:color w:val="auto"/>
                <w:sz w:val="24"/>
                <w:highlight w:val="none"/>
              </w:rPr>
              <w:t xml:space="preserve">4、告警记录功能：</w:t>
            </w:r>
            <w:r/>
          </w:p>
          <w:p>
            <w:pPr>
              <w:spacing w:line="360" w:lineRule="auto"/>
              <w:rPr>
                <w:rFonts w:hint="eastAsia"/>
                <w:color w:val="auto"/>
                <w:sz w:val="24"/>
                <w:highlight w:val="none"/>
              </w:rPr>
            </w:pPr>
            <w:r>
              <w:rPr>
                <w:rFonts w:hint="eastAsia"/>
                <w:color w:val="auto"/>
                <w:sz w:val="24"/>
                <w:highlight w:val="none"/>
              </w:rPr>
              <w:t xml:space="preserve">（1）支持地图集中展示</w:t>
            </w:r>
            <w:r>
              <w:rPr>
                <w:rFonts w:hint="eastAsia"/>
                <w:color w:val="auto"/>
                <w:sz w:val="24"/>
                <w:highlight w:val="none"/>
                <w:lang w:val="en-US" w:eastAsia="zh-CN"/>
              </w:rPr>
              <w:t xml:space="preserve">设备</w:t>
            </w:r>
            <w:r>
              <w:rPr>
                <w:rFonts w:hint="eastAsia"/>
                <w:color w:val="auto"/>
                <w:sz w:val="24"/>
                <w:highlight w:val="none"/>
              </w:rPr>
              <w:t xml:space="preserve">和摄像头</w:t>
            </w:r>
            <w:r/>
          </w:p>
          <w:p>
            <w:pPr>
              <w:spacing w:line="360" w:lineRule="auto"/>
              <w:rPr>
                <w:rFonts w:hint="eastAsia"/>
                <w:color w:val="auto"/>
                <w:sz w:val="24"/>
                <w:highlight w:val="none"/>
              </w:rPr>
            </w:pPr>
            <w:r>
              <w:rPr>
                <w:rFonts w:hint="eastAsia"/>
                <w:color w:val="auto"/>
                <w:sz w:val="24"/>
                <w:highlight w:val="none"/>
              </w:rPr>
              <w:t xml:space="preserve">（2）支持对告警事件进行记录。记录所有历史发生的告警：</w:t>
            </w:r>
            <w:r/>
          </w:p>
          <w:p>
            <w:pPr>
              <w:spacing w:line="360" w:lineRule="auto"/>
              <w:rPr>
                <w:rFonts w:hint="eastAsia"/>
                <w:color w:val="auto"/>
                <w:sz w:val="24"/>
                <w:highlight w:val="none"/>
              </w:rPr>
            </w:pPr>
            <w:r>
              <w:rPr>
                <w:rFonts w:hint="eastAsia"/>
                <w:color w:val="auto"/>
                <w:sz w:val="24"/>
                <w:highlight w:val="none"/>
              </w:rPr>
              <w:t xml:space="preserve">闯入：探测目标在适飞区和禁飞区以外</w:t>
            </w:r>
            <w:r/>
          </w:p>
          <w:p>
            <w:pPr>
              <w:spacing w:line="360" w:lineRule="auto"/>
              <w:rPr>
                <w:rFonts w:hint="eastAsia"/>
                <w:color w:val="auto"/>
                <w:sz w:val="24"/>
                <w:highlight w:val="none"/>
              </w:rPr>
            </w:pPr>
            <w:r>
              <w:rPr>
                <w:rFonts w:hint="eastAsia"/>
                <w:color w:val="auto"/>
                <w:sz w:val="24"/>
                <w:highlight w:val="none"/>
              </w:rPr>
              <w:t xml:space="preserve">闯入禁飞区：探测目标和合作无人机在禁飞区内</w:t>
            </w:r>
            <w:r/>
          </w:p>
          <w:p>
            <w:pPr>
              <w:spacing w:line="360" w:lineRule="auto"/>
              <w:rPr>
                <w:rFonts w:hint="eastAsia"/>
                <w:color w:val="auto"/>
                <w:sz w:val="24"/>
                <w:highlight w:val="none"/>
              </w:rPr>
            </w:pPr>
            <w:r>
              <w:rPr>
                <w:rFonts w:hint="eastAsia"/>
                <w:color w:val="auto"/>
                <w:sz w:val="24"/>
                <w:highlight w:val="none"/>
              </w:rPr>
              <w:t xml:space="preserve">（3）支持对设备类型（探测目标/合作无人机）、设备ID或名称（探测目标ID、合作无人机名称）、告警类型（闯入/闯入禁飞区）进行模糊搜索。</w:t>
            </w:r>
            <w:r/>
          </w:p>
          <w:p>
            <w:pPr>
              <w:spacing w:line="360" w:lineRule="auto"/>
              <w:rPr>
                <w:rFonts w:hint="eastAsia" w:eastAsia="宋体"/>
                <w:color w:val="auto"/>
                <w:sz w:val="24"/>
                <w:highlight w:val="none"/>
                <w:lang w:eastAsia="zh-CN"/>
              </w:rPr>
            </w:pPr>
            <w:r>
              <w:rPr>
                <w:rFonts w:hint="eastAsia"/>
                <w:color w:val="auto"/>
                <w:sz w:val="24"/>
                <w:highlight w:val="none"/>
              </w:rPr>
              <w:t xml:space="preserve">（4）支持告警列表展示：告警类型（闯入禁飞区、闯入）、设备类型（合作无人机、探测目标）、设备名称（合作无人机）或类型·ID（探测目标）、告警时间、持续时间</w:t>
            </w:r>
            <w:r>
              <w:rPr>
                <w:rFonts w:hint="eastAsia"/>
                <w:color w:val="auto"/>
                <w:sz w:val="24"/>
                <w:highlight w:val="none"/>
                <w:lang w:eastAsia="zh-CN"/>
              </w:rPr>
              <w:t xml:space="preserve">、</w:t>
            </w:r>
            <w:r>
              <w:rPr>
                <w:rFonts w:hint="eastAsia"/>
                <w:color w:val="auto"/>
                <w:sz w:val="24"/>
                <w:highlight w:val="none"/>
              </w:rPr>
              <w:t xml:space="preserve">支持告警批量删除</w:t>
            </w:r>
            <w:r>
              <w:rPr>
                <w:rFonts w:hint="eastAsia"/>
                <w:color w:val="auto"/>
                <w:sz w:val="24"/>
                <w:highlight w:val="none"/>
                <w:lang w:eastAsia="zh-CN"/>
              </w:rPr>
              <w:t xml:space="preserve">、</w:t>
            </w:r>
            <w:r>
              <w:rPr>
                <w:rFonts w:hint="eastAsia"/>
                <w:color w:val="auto"/>
                <w:sz w:val="24"/>
                <w:highlight w:val="none"/>
              </w:rPr>
              <w:t xml:space="preserve">点击单个告警，地图上展示相关告警内容</w:t>
            </w:r>
            <w:r>
              <w:rPr>
                <w:rFonts w:hint="eastAsia"/>
                <w:color w:val="auto"/>
                <w:sz w:val="24"/>
                <w:highlight w:val="none"/>
                <w:lang w:eastAsia="zh-CN"/>
              </w:rPr>
              <w:t xml:space="preserve">。</w:t>
            </w:r>
            <w:r/>
          </w:p>
          <w:p>
            <w:pPr>
              <w:spacing w:line="360" w:lineRule="auto"/>
              <w:rPr>
                <w:rFonts w:hint="eastAsia" w:eastAsia="宋体"/>
                <w:color w:val="auto"/>
                <w:sz w:val="24"/>
                <w:highlight w:val="none"/>
                <w:lang w:eastAsia="zh-CN"/>
              </w:rPr>
            </w:pPr>
            <w:r>
              <w:rPr>
                <w:rFonts w:hint="eastAsia"/>
                <w:color w:val="auto"/>
                <w:sz w:val="24"/>
                <w:highlight w:val="none"/>
              </w:rPr>
              <w:t xml:space="preserve">发现目标告警：若是当前告警有启动跟踪识别告警，且摄像头发现了目标，则将展示此发现目标告警信息</w:t>
            </w:r>
            <w:r>
              <w:rPr>
                <w:rFonts w:hint="eastAsia"/>
                <w:color w:val="auto"/>
                <w:sz w:val="24"/>
                <w:highlight w:val="none"/>
                <w:lang w:eastAsia="zh-CN"/>
              </w:rPr>
              <w:t xml:space="preserve">。</w:t>
            </w:r>
            <w:r/>
          </w:p>
          <w:p>
            <w:pPr>
              <w:spacing w:line="360" w:lineRule="auto"/>
              <w:rPr>
                <w:rFonts w:hint="eastAsia"/>
                <w:b w:val="0"/>
                <w:bCs w:val="0"/>
                <w:color w:val="auto"/>
                <w:sz w:val="24"/>
                <w:highlight w:val="none"/>
              </w:rPr>
            </w:pPr>
            <w:r>
              <w:rPr>
                <w:rFonts w:hint="eastAsia"/>
                <w:b w:val="0"/>
                <w:bCs w:val="0"/>
                <w:color w:val="auto"/>
                <w:sz w:val="24"/>
                <w:highlight w:val="none"/>
              </w:rPr>
              <w:t xml:space="preserve">5、精度分析功能：</w:t>
            </w:r>
            <w:r/>
          </w:p>
          <w:p>
            <w:pPr>
              <w:spacing w:line="360" w:lineRule="auto"/>
              <w:widowControl/>
              <w:rPr>
                <w:rFonts w:hint="eastAsia"/>
                <w:color w:val="auto"/>
                <w:sz w:val="24"/>
                <w:highlight w:val="none"/>
              </w:rPr>
            </w:pPr>
            <w:r>
              <w:rPr>
                <w:rFonts w:hint="eastAsia"/>
                <w:color w:val="auto"/>
                <w:sz w:val="24"/>
                <w:highlight w:val="none"/>
              </w:rPr>
              <w:t xml:space="preserve">支持通过飞行记录数据对其探测数据进行回溯和精度计算。</w:t>
            </w:r>
            <w:r/>
          </w:p>
          <w:p>
            <w:pPr>
              <w:spacing w:line="360" w:lineRule="auto"/>
              <w:widowControl/>
              <w:rPr>
                <w:rFonts w:hint="eastAsia"/>
                <w:color w:val="auto"/>
                <w:sz w:val="24"/>
                <w:highlight w:val="none"/>
                <w:lang w:val="en-US" w:eastAsia="zh-CN"/>
              </w:rPr>
            </w:pPr>
            <w:r>
              <w:rPr>
                <w:rFonts w:hint="eastAsia" w:ascii="宋体" w:hAnsi="宋体" w:eastAsia="宋体" w:cs="宋体"/>
                <w:color w:val="auto"/>
                <w:sz w:val="24"/>
                <w:highlight w:val="none"/>
                <w:lang w:bidi="ar"/>
              </w:rPr>
              <w:t xml:space="preserve">▲</w:t>
            </w:r>
            <w:r>
              <w:rPr>
                <w:rFonts w:hint="eastAsia"/>
                <w:color w:val="auto"/>
                <w:sz w:val="24"/>
                <w:highlight w:val="none"/>
                <w:lang w:val="en-US" w:eastAsia="zh-CN"/>
              </w:rPr>
              <w:t xml:space="preserve">6、远程操作功能：平台支持远程登陆，操作设备。</w:t>
            </w:r>
            <w:r/>
          </w:p>
          <w:p>
            <w:pPr>
              <w:pStyle w:val="656"/>
              <w:ind w:firstLine="0"/>
              <w:rPr>
                <w:rFonts w:hint="default"/>
                <w:color w:val="auto"/>
                <w:highlight w:val="none"/>
                <w:lang w:val="en-US" w:eastAsia="zh-CN"/>
              </w:rPr>
            </w:pPr>
            <w:r>
              <w:rPr>
                <w:rFonts w:hint="eastAsia" w:ascii="宋体" w:hAnsi="宋体" w:eastAsia="宋体" w:cs="宋体"/>
                <w:color w:val="auto"/>
                <w:sz w:val="24"/>
                <w:highlight w:val="none"/>
                <w:lang w:bidi="ar"/>
              </w:rPr>
              <w:t xml:space="preserve">▲</w:t>
            </w:r>
            <w:r>
              <w:rPr>
                <w:rFonts w:hint="eastAsia"/>
                <w:color w:val="auto"/>
                <w:sz w:val="24"/>
                <w:highlight w:val="none"/>
                <w:lang w:val="en-US" w:eastAsia="zh-CN"/>
              </w:rPr>
              <w:t xml:space="preserve">7、无人值守：自动侦测、误别到无人机后，可实现发出报警并自动发射预设干扰信号。</w:t>
            </w:r>
            <w:r/>
          </w:p>
        </w:tc>
      </w:tr>
      <w:tr>
        <w:trPr>
          <w:jc w:val="center"/>
        </w:trPr>
        <w:tc>
          <w:tcPr>
            <w:tcW w:w="385"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836" w:type="pct"/>
            <w:vAlign w:val="center"/>
            <w:textDirection w:val="lrTb"/>
            <w:noWrap w:val="false"/>
          </w:tcPr>
          <w:p>
            <w:pPr>
              <w:jc w:val="center"/>
              <w:spacing w:line="360" w:lineRule="auto"/>
              <w:widowControl/>
              <w:rPr>
                <w:rFonts w:hint="default" w:eastAsia="宋体"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 xml:space="preserve">移动电源</w:t>
            </w:r>
            <w:r/>
          </w:p>
        </w:tc>
        <w:tc>
          <w:tcPr>
            <w:tcW w:w="3777" w:type="pct"/>
            <w:vAlign w:val="center"/>
            <w:textDirection w:val="lrTb"/>
            <w:noWrap w:val="false"/>
          </w:tcPr>
          <w:p>
            <w:pPr>
              <w:pStyle w:val="656"/>
              <w:ind w:firstLine="0"/>
              <w:rPr>
                <w:rFonts w:hint="eastAsia" w:hAnsi="宋体" w:cs="宋体"/>
                <w:color w:val="auto"/>
                <w:sz w:val="24"/>
                <w:highlight w:val="none"/>
                <w:u w:val="none"/>
                <w:lang w:val="en-US" w:eastAsia="zh-CN" w:bidi="ar"/>
              </w:rPr>
            </w:pPr>
            <w:r>
              <w:rPr>
                <w:rFonts w:hint="eastAsia" w:hAnsi="宋体" w:cs="宋体"/>
                <w:color w:val="auto"/>
                <w:sz w:val="24"/>
                <w:highlight w:val="none"/>
                <w:u w:val="none"/>
                <w:lang w:val="en-US" w:eastAsia="zh-CN" w:bidi="ar"/>
              </w:rPr>
              <w:t xml:space="preserve">1、容量：</w:t>
            </w:r>
            <w:r>
              <w:rPr>
                <w:rFonts w:hint="eastAsia" w:ascii="宋体" w:hAnsi="宋体" w:eastAsia="宋体" w:cs="宋体"/>
                <w:color w:val="auto"/>
                <w:sz w:val="24"/>
                <w:highlight w:val="none"/>
                <w:u w:val="none"/>
                <w:lang w:val="en-US" w:eastAsia="zh-CN" w:bidi="ar"/>
              </w:rPr>
              <w:t xml:space="preserve">≥</w:t>
            </w:r>
            <w:r>
              <w:rPr>
                <w:rFonts w:hint="eastAsia" w:asciiTheme="minorEastAsia" w:hAnsiTheme="minorEastAsia" w:eastAsiaTheme="minorEastAsia" w:cstheme="minorEastAsia"/>
                <w:i w:val="0"/>
                <w:iCs w:val="0"/>
                <w:caps w:val="0"/>
                <w:color w:val="auto"/>
                <w:spacing w:val="0"/>
                <w:sz w:val="24"/>
                <w:szCs w:val="24"/>
                <w:u w:val="none"/>
                <w:shd w:val="clear" w:color="auto" w:fill="ffffff"/>
              </w:rPr>
              <w:t xml:space="preserve">2000瓦</w:t>
            </w:r>
            <w:r>
              <w:rPr>
                <w:rFonts w:ascii="Arial" w:hAnsi="Arial" w:eastAsia="Arial" w:cs="Arial"/>
                <w:i w:val="0"/>
                <w:iCs w:val="0"/>
                <w:caps w:val="0"/>
                <w:color w:val="auto"/>
                <w:spacing w:val="0"/>
                <w:sz w:val="24"/>
                <w:szCs w:val="24"/>
                <w:u w:val="none"/>
                <w:shd w:val="clear" w:color="auto" w:fill="ffffff"/>
              </w:rPr>
              <w:t xml:space="preserve">时</w:t>
            </w:r>
            <w:r>
              <w:rPr>
                <w:rFonts w:hint="eastAsia" w:hAnsi="宋体" w:cs="宋体"/>
                <w:color w:val="auto"/>
                <w:sz w:val="24"/>
                <w:highlight w:val="none"/>
                <w:u w:val="none"/>
                <w:lang w:val="en-US" w:eastAsia="zh-CN" w:bidi="ar"/>
              </w:rPr>
              <w:t xml:space="preserve">。</w:t>
            </w:r>
            <w:r/>
          </w:p>
          <w:p>
            <w:pPr>
              <w:pStyle w:val="656"/>
              <w:ind w:firstLine="0"/>
              <w:rPr>
                <w:rFonts w:hint="eastAsia" w:hAnsi="宋体" w:cs="宋体"/>
                <w:color w:val="auto"/>
                <w:sz w:val="24"/>
                <w:highlight w:val="none"/>
                <w:lang w:val="en-US" w:eastAsia="zh-CN" w:bidi="ar"/>
              </w:rPr>
            </w:pPr>
            <w:r>
              <w:rPr>
                <w:rFonts w:hint="eastAsia" w:hAnsi="宋体" w:cs="宋体"/>
                <w:color w:val="auto"/>
                <w:sz w:val="24"/>
                <w:highlight w:val="none"/>
                <w:lang w:val="en-US" w:eastAsia="zh-CN" w:bidi="ar"/>
              </w:rPr>
              <w:t xml:space="preserve">2、电芯材料：磷酸铁锂。</w:t>
            </w:r>
            <w:r/>
          </w:p>
          <w:p>
            <w:pPr>
              <w:pStyle w:val="656"/>
              <w:ind w:firstLine="0"/>
              <w:rPr>
                <w:rFonts w:hint="eastAsia" w:hAnsi="宋体" w:cs="宋体"/>
                <w:color w:val="auto"/>
                <w:sz w:val="24"/>
                <w:highlight w:val="none"/>
                <w:lang w:val="en-US" w:eastAsia="zh-CN" w:bidi="ar"/>
              </w:rPr>
            </w:pPr>
            <w:r>
              <w:rPr>
                <w:rFonts w:hint="eastAsia" w:hAnsi="宋体" w:cs="宋体"/>
                <w:color w:val="auto"/>
                <w:sz w:val="24"/>
                <w:highlight w:val="none"/>
                <w:lang w:val="en-US" w:eastAsia="zh-CN" w:bidi="ar"/>
              </w:rPr>
              <w:t xml:space="preserve">3、交流输出：≥220伏。</w:t>
            </w:r>
            <w:r/>
          </w:p>
          <w:p>
            <w:pPr>
              <w:pStyle w:val="656"/>
              <w:ind w:firstLine="0"/>
              <w:rPr>
                <w:rFonts w:hint="default" w:hAnsi="宋体" w:cs="宋体"/>
                <w:color w:val="auto"/>
                <w:sz w:val="24"/>
                <w:highlight w:val="none"/>
                <w:lang w:val="en-US" w:eastAsia="zh-CN" w:bidi="ar"/>
              </w:rPr>
            </w:pPr>
            <w:r>
              <w:rPr>
                <w:rFonts w:hint="eastAsia" w:hAnsi="宋体" w:cs="宋体"/>
                <w:color w:val="auto"/>
                <w:sz w:val="24"/>
                <w:highlight w:val="none"/>
                <w:lang w:val="en-US" w:eastAsia="zh-CN" w:bidi="ar"/>
              </w:rPr>
              <w:t xml:space="preserve">4、最大功率：≥2600W。</w:t>
            </w:r>
            <w:r/>
          </w:p>
          <w:p>
            <w:pPr>
              <w:pStyle w:val="656"/>
              <w:ind w:firstLine="0"/>
              <w:rPr>
                <w:rFonts w:hint="default" w:hAnsi="宋体" w:cs="宋体"/>
                <w:color w:val="auto"/>
                <w:sz w:val="24"/>
                <w:highlight w:val="none"/>
                <w:lang w:val="en-US" w:eastAsia="zh-CN" w:bidi="ar"/>
              </w:rPr>
            </w:pPr>
            <w:r>
              <w:rPr>
                <w:rFonts w:hint="eastAsia" w:hAnsi="宋体" w:cs="宋体"/>
                <w:color w:val="auto"/>
                <w:sz w:val="24"/>
                <w:highlight w:val="none"/>
                <w:lang w:val="en-US" w:eastAsia="zh-CN" w:bidi="ar"/>
              </w:rPr>
              <w:t xml:space="preserve">5、支持USB输出。</w:t>
            </w:r>
            <w:r/>
          </w:p>
          <w:p>
            <w:pPr>
              <w:pStyle w:val="656"/>
              <w:ind w:firstLine="0"/>
              <w:rPr>
                <w:rFonts w:hint="default" w:ascii="宋体" w:hAnsi="宋体" w:eastAsia="宋体" w:cs="宋体"/>
                <w:color w:val="auto"/>
                <w:sz w:val="24"/>
                <w:highlight w:val="none"/>
                <w:lang w:val="en-US" w:eastAsia="zh-CN" w:bidi="ar"/>
              </w:rPr>
            </w:pPr>
            <w:r>
              <w:rPr>
                <w:rFonts w:hint="eastAsia" w:hAnsi="宋体" w:cs="宋体"/>
                <w:color w:val="auto"/>
                <w:sz w:val="24"/>
                <w:highlight w:val="none"/>
                <w:lang w:val="en-US" w:eastAsia="zh-CN" w:bidi="ar"/>
              </w:rPr>
              <w:t xml:space="preserve">6、可作UPS使用。</w:t>
            </w:r>
            <w:r/>
          </w:p>
        </w:tc>
      </w:tr>
    </w:tbl>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注：1、相关截图、检测内容与采购需求不完全一致的，经评审委员会一致认定实质性符合的，视为满足采购需求。</w:t>
      </w:r>
      <w:r/>
    </w:p>
    <w:p>
      <w:pPr>
        <w:ind w:firstLine="480"/>
        <w:jc w:val="left"/>
        <w:spacing w:line="360" w:lineRule="auto"/>
        <w:rPr>
          <w:rFonts w:ascii="宋体" w:hAnsi="宋体"/>
          <w:sz w:val="24"/>
          <w:szCs w:val="24"/>
          <w:highlight w:val="none"/>
        </w:rP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p>
    <w:p>
      <w:pPr>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1、交货期：</w:t>
      </w:r>
      <w:r>
        <w:rPr>
          <w:rFonts w:hint="eastAsia" w:ascii="宋体" w:hAnsi="宋体"/>
          <w:b/>
          <w:bCs/>
          <w:i/>
          <w:iCs/>
          <w:sz w:val="24"/>
          <w:szCs w:val="24"/>
          <w:highlight w:val="none"/>
          <w:u w:val="single"/>
          <w:lang w:eastAsia="zh-CN"/>
        </w:rPr>
        <w:t xml:space="preserve">合同签订后30天内完成安装调试，达到预期效果。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w:t>
      </w:r>
      <w:r>
        <w:rPr>
          <w:rFonts w:hint="eastAsia" w:ascii="宋体" w:hAnsi="宋体"/>
          <w:b/>
          <w:bCs/>
          <w:i/>
          <w:iCs/>
          <w:sz w:val="24"/>
          <w:szCs w:val="24"/>
          <w:highlight w:val="none"/>
          <w:u w:val="single"/>
          <w:lang w:val="en-US" w:eastAsia="zh-CN"/>
        </w:rPr>
        <w:t xml:space="preserve">供应商提供至少1套与采购标的相同的备品备件存放于项目所在地或采购人指定的地址，如出现采购标的货物设备故障无法立即修复时可替代投入使用。（供应商提供承诺书，格式自拟并详细列出备件清单，包括品名、型号、规格、照片）</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rPr>
          <w:rFonts w:hint="eastAsia" w:ascii="宋体" w:hAnsi="宋体"/>
          <w:sz w:val="24"/>
          <w:szCs w:val="24"/>
          <w:highlight w:val="none"/>
          <w:lang w:val="en-US" w:eastAsia="zh-CN"/>
        </w:rPr>
        <w:t xml:space="preserve">验收设备所需的消费级无人机、穿越机等由供应商提供。</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3、项目进度计划</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合同签订后30天内完成安装调试</w:t>
      </w:r>
      <w:r>
        <w:rPr>
          <w:rFonts w:hint="eastAsia" w:ascii="宋体" w:hAnsi="宋体"/>
          <w:sz w:val="24"/>
          <w:szCs w:val="24"/>
          <w:highlight w:val="none"/>
        </w:rPr>
        <w:t xml:space="preserve">，达到预期效果；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（2）设备运行稳定、无质量问题进行验收。</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六、人员配备要求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七、履约验收要求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2、验收通用要求：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3、验收依据：招标文件、投标文件、合同及相关的国家标准、行业标准、规范等。</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p>
    <w:p>
      <w:pPr>
        <w:ind w:firstLine="562"/>
        <w:jc w:val="left"/>
        <w:spacing w:line="360" w:lineRule="auto"/>
        <w:rPr>
          <w:rFonts w:hint="eastAsia" w:ascii="宋体" w:hAnsi="宋体"/>
          <w:sz w:val="24"/>
          <w:szCs w:val="24"/>
          <w:highlight w:val="none"/>
        </w:rP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八、培训要求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1、培训对象与内容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2、培训目标</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九、售后服务要求</w:t>
      </w:r>
      <w:r/>
    </w:p>
    <w:p>
      <w:pPr>
        <w:ind w:firstLine="480"/>
        <w:jc w:val="left"/>
        <w:spacing w:line="360" w:lineRule="auto"/>
        <w:rPr>
          <w:rFonts w:ascii="宋体" w:hAnsi="宋体"/>
          <w:i w:val="0"/>
          <w:iCs w:val="0"/>
          <w:sz w:val="24"/>
          <w:szCs w:val="24"/>
          <w:highlight w:val="none"/>
          <w:u w:val="none"/>
        </w:rPr>
      </w:pPr>
      <w:r>
        <w:rPr>
          <w:rFonts w:hint="eastAsia" w:ascii="宋体" w:hAnsi="宋体" w:cs="宋体"/>
          <w:i w:val="0"/>
          <w:iCs w:val="0"/>
          <w:sz w:val="24"/>
          <w:szCs w:val="24"/>
          <w:highlight w:val="none"/>
          <w:u w:val="none"/>
        </w:rPr>
        <w:t xml:space="preserve">1、</w:t>
      </w:r>
      <w:r>
        <w:rPr>
          <w:rFonts w:hint="eastAsia" w:ascii="宋体" w:hAnsi="宋体"/>
          <w:b/>
          <w:bCs/>
          <w:i/>
          <w:iCs/>
          <w:sz w:val="24"/>
          <w:szCs w:val="24"/>
          <w:highlight w:val="none"/>
          <w:u w:val="single"/>
          <w:lang w:eastAsia="zh-CN"/>
        </w:rPr>
        <w:t xml:space="preserve">质保期不少于3年</w:t>
      </w:r>
      <w:r>
        <w:rPr>
          <w:rFonts w:hint="eastAsia" w:ascii="宋体" w:hAnsi="宋体"/>
          <w:b/>
          <w:bCs/>
          <w:i/>
          <w:iCs/>
          <w:sz w:val="24"/>
          <w:szCs w:val="24"/>
          <w:highlight w:val="none"/>
          <w:u w:val="singl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4、承担质保期内的全部技术责任。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5、质保期内，定期对所供产品进行巡检，对巡检中发现的潜在隐患提出改正建议，及时通知采购人。</w:t>
      </w:r>
      <w:r/>
    </w:p>
    <w:p>
      <w:pPr>
        <w:ind w:firstLine="480"/>
        <w:jc w:val="left"/>
        <w:spacing w:line="360" w:lineRule="auto"/>
        <w:rPr>
          <w:rFonts w:hint="eastAsia" w:eastAsia="宋体"/>
          <w:b/>
          <w:bCs/>
          <w:i/>
          <w:iCs/>
          <w:color w:val="auto"/>
          <w:highlight w:val="none"/>
          <w:u w:val="single"/>
          <w:lang w:eastAsia="zh-CN"/>
        </w:rPr>
      </w:pPr>
      <w:r>
        <w:rPr>
          <w:rFonts w:hint="eastAsia" w:ascii="宋体" w:hAnsi="宋体"/>
          <w:b/>
          <w:bCs/>
          <w:i/>
          <w:iCs/>
          <w:color w:val="auto"/>
          <w:sz w:val="24"/>
          <w:szCs w:val="24"/>
          <w:highlight w:val="none"/>
          <w:u w:val="single"/>
        </w:rPr>
        <w:t xml:space="preserve">6、</w:t>
      </w:r>
      <w:r>
        <w:rPr>
          <w:rFonts w:hint="eastAsia" w:ascii="宋体" w:hAnsi="宋体"/>
          <w:b/>
          <w:bCs/>
          <w:i/>
          <w:iCs/>
          <w:color w:val="auto"/>
          <w:sz w:val="24"/>
          <w:szCs w:val="24"/>
          <w:highlight w:val="none"/>
          <w:u w:val="single"/>
          <w:lang w:val="en-US" w:eastAsia="zh-CN"/>
        </w:rPr>
        <w:t xml:space="preserve">供应商中标后应在项目地成立固定的服务团队（专班）并在合同签订前提供相关服务团队资料（包括团队负责人、成员名单、联系方式、2025年6月至今任意1个月的社保证明、常驻办公地址证明或租赁合同），质保期内，发现由于材料、设备或工艺不良造成设备故障时，采购人发出服务通知（包含文字通知、口头通知等形式），1小时内技术人员到场迅速修复，旧设备需要送修时，应在4小时内完成新设备免费更换。（供应商提供承诺书，格式自拟）</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7、维修后，如果设备配置与初始状态不一致时(如升级或改版)，应附上相应的配置说明。</w:t>
      </w:r>
      <w:r/>
    </w:p>
    <w:p>
      <w:pPr>
        <w:ind w:firstLine="562"/>
        <w:jc w:val="left"/>
        <w:spacing w:line="360" w:lineRule="auto"/>
        <w:rPr>
          <w:rFonts w:ascii="Times New Roman" w:hAnsi="Times New Roman"/>
          <w:b w:val="0"/>
          <w:bCs/>
          <w:sz w:val="28"/>
          <w:szCs w:val="28"/>
          <w:highlight w:val="none"/>
        </w:rPr>
      </w:pPr>
      <w:r>
        <w:rPr>
          <w:rFonts w:hint="eastAsia" w:ascii="Times New Roman" w:hAnsi="Times New Roman"/>
          <w:b/>
          <w:sz w:val="28"/>
          <w:szCs w:val="28"/>
          <w:highlight w:val="none"/>
        </w:rPr>
        <w:t xml:space="preserve">十、商品包装及快递包装要求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十一、投标报价要求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1、报价币种为人民币。</w:t>
      </w:r>
      <w:r/>
    </w:p>
    <w:p>
      <w:pPr>
        <w:ind w:firstLine="480"/>
        <w:jc w:val="left"/>
        <w:spacing w:line="360" w:lineRule="auto"/>
        <w:rPr>
          <w:rFonts w:ascii="Times New Roman" w:hAnsi="Times New Roman"/>
          <w:sz w:val="24"/>
          <w:szCs w:val="24"/>
          <w:highlight w:val="none"/>
        </w:rP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十二、付款方式与履约保证金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1、付款方式</w:t>
      </w:r>
      <w:r/>
    </w:p>
    <w:p>
      <w:pPr>
        <w:ind w:firstLine="480"/>
        <w:jc w:val="left"/>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设备安装调试经验收合格后，经审计票据齐全后一次性支付至审计金额的100%。</w:t>
      </w:r>
      <w:r/>
    </w:p>
    <w:p>
      <w:pPr>
        <w:ind w:left="479" w:firstLine="64"/>
        <w:jc w:val="left"/>
        <w:spacing w:line="360" w:lineRule="auto"/>
        <w:rPr>
          <w:rFonts w:ascii="宋体" w:hAnsi="宋体"/>
          <w:sz w:val="24"/>
          <w:szCs w:val="24"/>
          <w:highlight w:val="none"/>
        </w:rPr>
      </w:pPr>
      <w:r>
        <w:rPr>
          <w:rFonts w:hint="eastAsia" w:ascii="宋体" w:hAnsi="宋体"/>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十三、其他</w:t>
      </w:r>
      <w:bookmarkEnd w:id="9"/>
      <w:r/>
      <w:bookmarkEnd w:id="10"/>
      <w:r/>
      <w:r/>
    </w:p>
    <w:p>
      <w:pPr>
        <w:contextualSpacing w:val="0"/>
        <w:ind w:firstLine="480"/>
        <w:jc w:val="left"/>
        <w:spacing w:before="0" w:after="0" w:line="240" w:lineRule="auto"/>
        <w:rPr>
          <w:rFonts w:ascii="宋体" w:hAnsi="宋体"/>
          <w:sz w:val="24"/>
          <w:szCs w:val="24"/>
          <w:highlight w:val="none"/>
        </w:rPr>
        <w:suppressLineNumbers w:val="0"/>
      </w:pPr>
      <w:r>
        <w:rPr>
          <w:rFonts w:hint="eastAsia" w:ascii="宋体" w:hAnsi="宋体"/>
          <w:sz w:val="24"/>
          <w:szCs w:val="24"/>
          <w:highlight w:val="none"/>
        </w:rPr>
        <w:t xml:space="preserve">1、本项目报价不得超过预算价（最高限价）。</w:t>
      </w:r>
      <w:r/>
    </w:p>
    <w:p>
      <w:pPr>
        <w:contextualSpacing w:val="0"/>
        <w:ind w:firstLine="480"/>
        <w:jc w:val="left"/>
        <w:spacing w:before="0" w:after="0" w:line="240" w:lineRule="auto"/>
        <w:rPr>
          <w:rFonts w:ascii="宋体" w:hAnsi="宋体"/>
          <w:sz w:val="24"/>
          <w:szCs w:val="24"/>
          <w:highlight w:val="none"/>
        </w:rPr>
        <w:suppressLineNumbers w:val="0"/>
      </w:pPr>
      <w:r>
        <w:rPr>
          <w:rFonts w:hint="eastAsia" w:ascii="宋体" w:hAnsi="宋体"/>
          <w:sz w:val="24"/>
          <w:szCs w:val="24"/>
          <w:highlight w:val="none"/>
        </w:rPr>
        <w:t xml:space="preserve">2、特别提醒供应商：应根据国家收费标准并结合市场实际进行报价，总价包干。</w:t>
      </w:r>
      <w:r/>
    </w:p>
    <w:p>
      <w:pPr>
        <w:contextualSpacing w:val="0"/>
        <w:ind w:firstLine="480"/>
        <w:jc w:val="left"/>
        <w:spacing w:before="0" w:after="0" w:line="240" w:lineRule="auto"/>
        <w:rPr>
          <w:rFonts w:ascii="宋体" w:hAnsi="宋体"/>
          <w:sz w:val="24"/>
          <w:szCs w:val="24"/>
          <w:highlight w:val="none"/>
        </w:rPr>
        <w:suppressLineNumbers w:val="0"/>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highlight w:val="none"/>
        </w:rPr>
      </w:pPr>
      <w:r>
        <w:rPr>
          <w:sz w:val="24"/>
          <w:szCs w:val="24"/>
          <w:highlight w:val="none"/>
        </w:rPr>
        <w:br w:type="page" w:clear="all"/>
      </w:r>
      <w:r/>
    </w:p>
    <w:p>
      <w:pPr>
        <w:pStyle w:val="867"/>
        <w:jc w:val="center"/>
        <w:spacing w:line="360" w:lineRule="auto"/>
        <w:rPr>
          <w:rFonts w:ascii="黑体" w:hAnsi="黑体" w:eastAsia="黑体"/>
          <w:b w:val="0"/>
          <w:highlight w:val="none"/>
        </w:rPr>
      </w:pPr>
      <w:r/>
      <w:bookmarkStart w:id="11"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1"/>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（1）价格分（30分）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Pr>
      <w:r>
        <w:rPr>
          <w:rFonts w:hint="eastAsia"/>
          <w:sz w:val="24"/>
          <w:szCs w:val="24"/>
          <w:highlight w:val="none"/>
        </w:rPr>
        <w:t xml:space="preserve">因落实政府采购政策进行价格扣除的，用扣除后的价格参加评审。</w:t>
      </w:r>
      <w:r/>
    </w:p>
    <w:p>
      <w:pPr>
        <w:ind w:firstLine="480"/>
        <w:jc w:val="left"/>
        <w:spacing w:line="500" w:lineRule="exact"/>
        <w:rPr>
          <w:sz w:val="24"/>
          <w:szCs w:val="24"/>
          <w:highlight w:val="none"/>
        </w:rPr>
      </w:pPr>
      <w:r>
        <w:rPr>
          <w:rFonts w:hint="eastAsia"/>
          <w:sz w:val="24"/>
          <w:szCs w:val="24"/>
          <w:highlight w:val="none"/>
        </w:rPr>
        <w:t xml:space="preserve">（2）技术分（28分）</w:t>
      </w:r>
      <w:r/>
    </w:p>
    <w:tbl>
      <w:tblPr>
        <w:tblStyle w:val="655"/>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8395"/>
      </w:tblGrid>
      <w:tr>
        <w:trPr>
          <w:trHeight w:val="1080"/>
        </w:trPr>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评审细则</w:t>
            </w:r>
            <w:r/>
          </w:p>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426" w:type="dxa"/>
            <w:vAlign w:val="center"/>
            <w:textDirection w:val="lrTb"/>
            <w:noWrap w:val="false"/>
          </w:tcPr>
          <w:p>
            <w:pPr>
              <w:jc w:val="center"/>
              <w:spacing w:line="360" w:lineRule="auto"/>
              <w:rPr>
                <w:rFonts w:ascii="宋体" w:hAnsi="宋体" w:cs="宋体"/>
                <w:sz w:val="24"/>
                <w:szCs w:val="24"/>
                <w:highlight w:val="none"/>
                <w:lang w:bidi="ar"/>
              </w:rPr>
            </w:pPr>
            <w:r>
              <w:rPr>
                <w:rFonts w:hint="eastAsia" w:ascii="宋体" w:hAnsi="宋体" w:cs="宋体"/>
                <w:b/>
                <w:bCs/>
                <w:sz w:val="24"/>
                <w:szCs w:val="24"/>
                <w:highlight w:val="non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实施方案（10分）</w:t>
            </w:r>
            <w:r/>
          </w:p>
        </w:tc>
        <w:tc>
          <w:tcPr>
            <w:tcBorders>
              <w:top w:val="single" w:color="auto" w:sz="4" w:space="0"/>
              <w:left w:val="single" w:color="auto" w:sz="4" w:space="0"/>
              <w:bottom w:val="single" w:color="auto" w:sz="4" w:space="0"/>
              <w:right w:val="single" w:color="auto" w:sz="4" w:space="0"/>
            </w:tcBorders>
            <w:tcW w:w="8426" w:type="dxa"/>
            <w:vAlign w:val="center"/>
            <w:textDirection w:val="lrTb"/>
            <w:noWrap w:val="false"/>
          </w:tcPr>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评委根据供应商的项目实施方案，从供货、安装、调试、测试、验收等进行评审。</w:t>
            </w:r>
            <w:r/>
          </w:p>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1.实施方案全面完整、切合本项目实际、合理可行，内容详实、科学，考虑周全，措施到位，针对性强，完全能够满足需要，得10分； </w:t>
            </w:r>
            <w:r/>
          </w:p>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2.实施方案较为完整、基本符合本项目实际、基本合理，基本考虑周全，措施基本到位，针对性较强，可以满足需要，得8分； </w:t>
            </w:r>
            <w:r/>
          </w:p>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3.实施方案基本完整、基本符合本项目实际、基本合理，基本考虑周全，措施基本到位，针对性一般，可以满足需要，得6分；</w:t>
            </w:r>
            <w:r/>
          </w:p>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4.实施方案不完整、不实用，合理性方面一般，基本考虑不周，措施不够到位，针对性不强，虽然能够基本满足需要，但需要进一步完善，得4分； </w:t>
            </w:r>
            <w:r/>
          </w:p>
          <w:p>
            <w:pPr>
              <w:pStyle w:val="872"/>
              <w:jc w:val="both"/>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5.项目实施方案明显偏离实际采购需求得2分。</w:t>
            </w:r>
            <w:r/>
          </w:p>
          <w:p>
            <w:pPr>
              <w:pStyle w:val="872"/>
              <w:jc w:val="both"/>
              <w:spacing w:line="360" w:lineRule="auto"/>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备品备件管理方案</w:t>
            </w:r>
            <w:r/>
          </w:p>
          <w:p>
            <w:pPr>
              <w:jc w:val="cente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8426"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供应商针对本项目制定备品备件管理方案，包括但不限于供应措施、响应方式，备品备件价格等方面。</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1.计划内容全面具体，科学合理，可行性、可操作性强，措施完善：10分；</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2.计划内容具体，较科学合理，可行性、可操作性较强，措施较完善：8分；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3.计划内容有缺失、可行性、可操作性较差：6分；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4.计划内容极其不全面、可行性、可操作性差：4分；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5.内容与本项目基本无关联性得2分。</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bidi="ar"/>
              </w:rPr>
              <w:t xml:space="preserve">未提供不得分。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服务承诺（4分）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评标委员会根据各投标文件中质保期内、质保期满后的售后服务措施、建立的服务制度、培训方案等进行打分：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1.服务承诺符合本项目特点，有详尽的质保期内、质保期满后的售后服务措施，建立健全的服务制度的、有具体的培训方案的得4分；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2.服务承诺符合本项目特点，有较详细的质保期内、质保期满后的售后服务措施，有较健全的服务制度，有较具体的培训方案的得3分；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3.服务承诺符合本项目特点，实用性一般，质保期内、质保期满后的售后服务措施不完备，服务制度不完备，培训方案不完备的得1分；</w:t>
            </w:r>
            <w:r/>
          </w:p>
          <w:p>
            <w:pPr>
              <w:jc w:val="left"/>
              <w:spacing w:line="360" w:lineRule="auto"/>
              <w:rPr>
                <w:rFonts w:ascii="宋体" w:hAnsi="宋体" w:cs="宋体"/>
                <w:sz w:val="24"/>
                <w:szCs w:val="24"/>
                <w:highlight w:val="none"/>
              </w:rPr>
            </w:pPr>
            <w:r>
              <w:rPr>
                <w:rFonts w:hint="eastAsia" w:ascii="宋体" w:hAnsi="宋体" w:cs="宋体"/>
                <w:b/>
                <w:bCs/>
                <w:sz w:val="24"/>
                <w:szCs w:val="24"/>
                <w:highlight w:val="none"/>
                <w:lang w:bidi="ar"/>
              </w:rPr>
              <w:t xml:space="preserve">未提供不得分。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维修方案</w:t>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评标委员会根据各投标文件中质保期内、质保期满后的故障响应时间、应急维修措施预案等进行打分：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1.服务承诺符合本项目特点，质保期内、质保期满后的售后服务故障响应时间极快、应急维修措施预案合理且可行的得4分；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2.服务承诺符合本项目特点，质保期内、质保期满后的售后服务故障响应时间快、应急维修措施预案较合理的得3分；</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3.服务承诺符合本项目特点，实用性一般，质保期内、质保期满后的售后服务故障响应时间较长、应急维修措施预案不完备的得1分；</w:t>
            </w:r>
            <w:r/>
          </w:p>
          <w:p>
            <w:pPr>
              <w:jc w:val="left"/>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未提供不得分。</w:t>
            </w:r>
            <w:r/>
          </w:p>
        </w:tc>
      </w:tr>
    </w:tbl>
    <w:p>
      <w:pPr>
        <w:ind w:firstLine="480"/>
        <w:jc w:val="left"/>
        <w:spacing w:line="500" w:lineRule="exact"/>
        <w:rPr>
          <w:sz w:val="24"/>
          <w:szCs w:val="24"/>
          <w:highlight w:val="none"/>
        </w:rPr>
      </w:pPr>
      <w:r>
        <w:rPr>
          <w:rFonts w:hint="eastAsia"/>
          <w:sz w:val="24"/>
          <w:szCs w:val="24"/>
          <w:highlight w:val="none"/>
        </w:rPr>
        <w:t xml:space="preserve">（3）商务分（42分）</w:t>
      </w:r>
      <w:r/>
    </w:p>
    <w:tbl>
      <w:tblPr>
        <w:tblStyle w:val="655"/>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8437"/>
      </w:tblGrid>
      <w:tr>
        <w:trPr>
          <w:trHeight w:val="882"/>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评审细则</w:t>
            </w:r>
            <w:r/>
          </w:p>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592"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
                <w:bCs/>
                <w:sz w:val="24"/>
                <w:szCs w:val="24"/>
                <w:highlight w:val="none"/>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sz w:val="24"/>
                <w:szCs w:val="24"/>
                <w:highlight w:val="none"/>
              </w:rPr>
            </w:pPr>
            <w:r>
              <w:rPr>
                <w:rFonts w:hint="eastAsia" w:ascii="宋体" w:hAnsi="宋体" w:cs="宋体"/>
                <w:sz w:val="24"/>
                <w:szCs w:val="24"/>
                <w:highlight w:val="none"/>
              </w:rPr>
              <w:t xml:space="preserve">技术参数（30分）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tabs>
                <w:tab w:val="left" w:pos="0" w:leader="none"/>
              </w:tabs>
              <w:rPr>
                <w:rFonts w:ascii="宋体" w:hAnsi="宋体" w:cs="宋体"/>
                <w:bCs/>
                <w:sz w:val="24"/>
                <w:szCs w:val="24"/>
                <w:highlight w:val="none"/>
              </w:rPr>
            </w:pPr>
            <w:r>
              <w:rPr>
                <w:rFonts w:hint="eastAsia" w:ascii="宋体" w:hAnsi="宋体" w:cs="宋体"/>
                <w:sz w:val="24"/>
                <w:szCs w:val="24"/>
                <w:highlight w:val="none"/>
              </w:rPr>
              <w:t xml:space="preserve">完全符合招标文件第四章《项目需求》中“技术参数及功能指标”完全满足招标文件要求的得30分，有负偏离情况的，评标委员会将根据该技术参数的负偏离对所投标设备的使</w:t>
            </w:r>
            <w:r>
              <w:rPr>
                <w:rFonts w:hint="eastAsia" w:ascii="宋体" w:hAnsi="宋体" w:cs="宋体"/>
                <w:bCs/>
                <w:sz w:val="24"/>
                <w:szCs w:val="24"/>
                <w:highlight w:val="none"/>
              </w:rPr>
              <w:t xml:space="preserve">用影响程度进行扣分。</w:t>
            </w:r>
            <w:r/>
          </w:p>
          <w:p>
            <w:pPr>
              <w:spacing w:line="360" w:lineRule="auto"/>
              <w:tabs>
                <w:tab w:val="left" w:pos="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技术参数中标注“▲”号的功能要求</w:t>
            </w:r>
            <w:r>
              <w:rPr>
                <w:rFonts w:hint="eastAsia" w:ascii="宋体" w:hAnsi="宋体" w:cs="宋体"/>
                <w:b/>
                <w:bCs w:val="0"/>
                <w:sz w:val="24"/>
                <w:szCs w:val="24"/>
                <w:highlight w:val="none"/>
                <w:lang w:eastAsia="zh-CN"/>
              </w:rPr>
              <w:t xml:space="preserve">为</w:t>
            </w:r>
            <w:r>
              <w:rPr>
                <w:rFonts w:hint="eastAsia" w:ascii="宋体" w:hAnsi="宋体" w:cs="宋体"/>
                <w:b/>
                <w:bCs w:val="0"/>
                <w:sz w:val="24"/>
                <w:szCs w:val="24"/>
                <w:highlight w:val="none"/>
              </w:rPr>
              <w:t xml:space="preserve">技术参数为重要参数，每负偏离或不响应一项扣</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rPr>
              <w:t xml:space="preserve">分；其他功能要求和技术参数每负偏离一项扣1分，扣完为止。</w:t>
            </w:r>
            <w:r/>
          </w:p>
          <w:p>
            <w:pPr>
              <w:pStyle w:val="656"/>
              <w:rPr>
                <w:highlight w:val="none"/>
              </w:rPr>
            </w:pPr>
            <w:r>
              <w:rPr>
                <w:rFonts w:hint="eastAsia" w:ascii="宋体" w:hAnsi="宋体" w:eastAsia="宋体" w:cs="Times New Roman"/>
                <w:b/>
                <w:sz w:val="24"/>
                <w:szCs w:val="24"/>
                <w:highlight w:val="none"/>
              </w:rPr>
              <w:t xml:space="preserve">注：以投标响应表及采购需求中要求提供的证明材料作为评审依据，响应招标参数要求，但未提供招标文件要求的证明材料或提供的材料不满足要求的，视为负偏离。</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类似项目业绩（12分）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872"/>
              <w:jc w:val="both"/>
              <w:spacing w:line="360" w:lineRule="auto"/>
              <w:rPr>
                <w:highlight w:val="none"/>
              </w:rPr>
            </w:pPr>
            <w:r>
              <w:rPr>
                <w:rFonts w:hint="eastAsia" w:ascii="宋体" w:hAnsi="宋体" w:cs="宋体"/>
                <w:color w:val="auto"/>
                <w:sz w:val="24"/>
                <w:highlight w:val="none"/>
              </w:rPr>
              <w:t xml:space="preserve">供应商自2021年1月1日以来（合同签订时间）具备类似销售业绩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合同范围包含无人机侦测设备或无人机反制设备的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，每提供一份类似业绩的合同得3分，最多得12分。</w:t>
            </w:r>
            <w:r/>
          </w:p>
          <w:p>
            <w:pPr>
              <w:pStyle w:val="872"/>
              <w:jc w:val="both"/>
              <w:spacing w:line="360" w:lineRule="auto"/>
              <w:rPr>
                <w:highlight w:val="none"/>
              </w:rPr>
            </w:pPr>
            <w:r>
              <w:rPr>
                <w:rFonts w:hint="eastAsia" w:ascii="宋体" w:hAnsi="宋体" w:cs="宋体"/>
                <w:b/>
                <w:bCs/>
                <w:color w:val="auto"/>
                <w:sz w:val="24"/>
                <w:highlight w:val="none"/>
              </w:rPr>
              <w:t xml:space="preserve">提供类似业绩合同扫描件加盖</w:t>
            </w:r>
            <w:r>
              <w:rPr>
                <w:rFonts w:hint="eastAsia" w:ascii="宋体" w:hAnsi="宋体" w:cs="宋体"/>
                <w:b/>
                <w:bCs/>
                <w:color w:val="auto"/>
                <w:sz w:val="24"/>
                <w:highlight w:val="none"/>
                <w:lang w:eastAsia="zh-CN"/>
              </w:rPr>
              <w:t xml:space="preserve">投标人</w:t>
            </w:r>
            <w:r>
              <w:rPr>
                <w:rFonts w:hint="eastAsia" w:ascii="宋体" w:hAnsi="宋体" w:cs="宋体"/>
                <w:b/>
                <w:bCs/>
                <w:color w:val="auto"/>
                <w:sz w:val="24"/>
                <w:highlight w:val="none"/>
              </w:rPr>
              <w:t xml:space="preserve">公章，</w:t>
            </w:r>
            <w:r>
              <w:rPr>
                <w:rFonts w:hint="eastAsia" w:ascii="宋体" w:hAnsi="Arial"/>
                <w:b/>
                <w:sz w:val="24"/>
                <w:highlight w:val="none"/>
              </w:rPr>
              <w:t xml:space="preserve">名称相近的由评委会统一认定</w:t>
            </w:r>
            <w:r>
              <w:rPr>
                <w:rFonts w:hint="eastAsia" w:ascii="宋体" w:hAnsi="Arial"/>
                <w:b/>
                <w:sz w:val="24"/>
                <w:highlight w:val="none"/>
                <w:lang w:eastAsia="zh-CN"/>
              </w:rPr>
              <w:t xml:space="preserve">，</w:t>
            </w:r>
            <w:r>
              <w:rPr>
                <w:rFonts w:hint="eastAsia" w:ascii="宋体" w:hAnsi="宋体" w:cs="宋体"/>
                <w:b/>
                <w:bCs/>
                <w:color w:val="auto"/>
                <w:sz w:val="24"/>
                <w:highlight w:val="none"/>
              </w:rPr>
              <w:t xml:space="preserve">业绩时间以合同签订时间为准，未提供者不得分。</w:t>
            </w:r>
            <w:r/>
          </w:p>
        </w:tc>
      </w:tr>
    </w:tbl>
    <w:p>
      <w:pPr>
        <w:ind w:firstLine="480"/>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867"/>
        <w:jc w:val="center"/>
        <w:spacing w:line="360" w:lineRule="auto"/>
        <w:rPr>
          <w:rFonts w:ascii="黑体" w:hAnsi="黑体" w:eastAsia="黑体"/>
          <w:b w:val="0"/>
          <w:highlight w:val="none"/>
        </w:rPr>
      </w:pPr>
      <w:r/>
      <w:bookmarkStart w:id="12" w:name="_Toc165205799"/>
      <w:r>
        <w:rPr>
          <w:rFonts w:hint="eastAsia" w:ascii="黑体" w:hAnsi="黑体" w:eastAsia="黑体"/>
          <w:b w:val="0"/>
          <w:highlight w:val="none"/>
        </w:rPr>
        <w:t xml:space="preserve">第六章  投标文件格式</w:t>
      </w:r>
      <w:bookmarkEnd w:id="12"/>
      <w:r/>
      <w:r/>
    </w:p>
    <w:p>
      <w:pPr>
        <w:jc w:val="left"/>
        <w:spacing w:line="500" w:lineRule="exact"/>
        <w:rPr>
          <w:sz w:val="24"/>
          <w:szCs w:val="24"/>
          <w:highlight w:val="none"/>
        </w:rPr>
      </w:pPr>
      <w:r>
        <w:rPr>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spacing w:line="500" w:lineRule="exact"/>
        <w:rPr>
          <w:sz w:val="24"/>
          <w:szCs w:val="24"/>
          <w:highlight w:val="none"/>
        </w:rPr>
      </w:pPr>
      <w:r>
        <w:rPr>
          <w:rFonts w:hint="eastAsia" w:ascii="Arial" w:hAnsi="Arial" w:cs="Arial"/>
          <w:i/>
          <w:sz w:val="36"/>
          <w:highlight w:val="none"/>
          <w:u w:val="single"/>
        </w:rPr>
        <w:t xml:space="preserve">二、上一年度的财务状况报告</w:t>
      </w:r>
      <w:r>
        <w:rPr>
          <w:rFonts w:hint="eastAsia" w:ascii="Arial" w:hAnsi="Arial" w:eastAsia="宋体" w:cs="Arial"/>
          <w:i/>
          <w:sz w:val="36"/>
          <w:highlight w:val="none"/>
          <w:u w:val="singl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Pr>
      <w:r>
        <w:rPr>
          <w:rFonts w:ascii="MS Mincho"/>
          <w:color w:val="000000"/>
          <w:szCs w:val="24"/>
          <w:highlight w:val="none"/>
        </w:rPr>
      </w:r>
      <w:r/>
    </w:p>
    <w:p>
      <w:pPr>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Pr>
      <w:r>
        <w:rPr>
          <w:rFonts w:hint="eastAsia"/>
          <w:sz w:val="24"/>
          <w:szCs w:val="24"/>
          <w:highlight w:val="none"/>
        </w:rPr>
        <w:t xml:space="preserve">特此承诺</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供应商（公章）：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供应商（盖章）：</w:t>
      </w:r>
      <w:r/>
    </w:p>
    <w:p>
      <w:pPr>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Pr>
      <w:r>
        <w:rPr>
          <w:rFonts w:hint="eastAsia"/>
          <w:sz w:val="24"/>
          <w:szCs w:val="24"/>
          <w:highlight w:val="none"/>
        </w:rPr>
        <w:t xml:space="preserve">日期：    年     月     日</w:t>
      </w:r>
      <w:r/>
    </w:p>
    <w:p>
      <w:pPr>
        <w:jc w:val="left"/>
        <w:rPr>
          <w:rFonts w:ascii="MS Mincho"/>
          <w:color w:val="000000"/>
          <w:szCs w:val="24"/>
          <w:highlight w:val="none"/>
        </w:rP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供应商（盖章）：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名称（加盖公章）：</w:t>
      </w:r>
      <w:r/>
    </w:p>
    <w:p>
      <w:pPr>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p>
    <w:p>
      <w:pPr>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p>
    <w:p>
      <w:pPr>
        <w:spacing w:line="360" w:lineRule="auto"/>
        <w:rPr>
          <w:sz w:val="24"/>
          <w:szCs w:val="24"/>
          <w:highlight w:val="none"/>
        </w:rP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360" w:lineRule="auto"/>
        <w:rPr>
          <w:sz w:val="24"/>
          <w:szCs w:val="24"/>
          <w:highlight w:val="none"/>
        </w:rP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p>
    <w:p>
      <w:pPr>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p>
    <w:p>
      <w:pPr>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日期：    年     月     日</w:t>
      </w:r>
      <w:r/>
    </w:p>
    <w:p>
      <w:pPr>
        <w:spacing w:line="360" w:lineRule="auto"/>
        <w:rPr>
          <w:sz w:val="24"/>
          <w:szCs w:val="24"/>
          <w:highlight w:val="none"/>
        </w:rPr>
      </w:pPr>
      <w:r>
        <w:rPr>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十一、中小企业声明函（货物）（分包号：**）</w:t>
      </w:r>
      <w:r/>
    </w:p>
    <w:p>
      <w:pPr>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连云港市公安局</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供应商（盖章）：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Pr>
      <w:r>
        <w:rPr>
          <w:rFonts w:ascii="宋体" w:hAnsi="宋体"/>
          <w:color w:val="000000"/>
          <w:szCs w:val="20"/>
          <w:highlight w:val="none"/>
        </w:rPr>
      </w:r>
      <w:r/>
    </w:p>
    <w:p>
      <w:pPr>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2、以上报价包含货物费用、运杂费、安装施工费、集成费、税金和其他费用。</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highlight w:val="none"/>
        </w:rPr>
      </w:pPr>
      <w:r>
        <w:rPr>
          <w:rFonts w:hint="eastAsia" w:ascii="Times New Roman" w:hAnsi="宋体"/>
          <w:color w:val="000000"/>
          <w:szCs w:val="24"/>
          <w:highlight w:val="none"/>
        </w:rPr>
        <w:t xml:space="preserve">4、行数或事项不够，可自行增加。</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bookmarkStart w:id="13" w:name="_Hlt26955054"/>
      <w:r/>
      <w:bookmarkEnd w:id="13"/>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p>
    <w:tbl>
      <w:tblPr>
        <w:tblStyle w:val="65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Pr>
            <w:r/>
            <w:bookmarkStart w:id="14" w:name="_Hlt26609391"/>
            <w:r/>
            <w:bookmarkEnd w:id="14"/>
            <w:r/>
            <w:bookmarkStart w:id="15" w:name="_Hlt26955056"/>
            <w:r/>
            <w:bookmarkEnd w:id="15"/>
            <w:r/>
            <w:bookmarkStart w:id="16" w:name="_Hlt26671372"/>
            <w:r/>
            <w:bookmarkEnd w:id="16"/>
            <w:r/>
            <w:bookmarkStart w:id="17" w:name="_Hlt26782999"/>
            <w:r/>
            <w:bookmarkEnd w:id="17"/>
            <w:r/>
            <w:bookmarkStart w:id="18" w:name="_Hlt26671343"/>
            <w:r/>
            <w:bookmarkEnd w:id="18"/>
            <w:r/>
            <w:bookmarkStart w:id="19" w:name="_Hlt24879081"/>
            <w:r/>
            <w:bookmarkEnd w:id="19"/>
            <w:r/>
            <w:bookmarkStart w:id="20" w:name="_Hlt26955064"/>
            <w:r/>
            <w:bookmarkEnd w:id="20"/>
            <w:r/>
            <w:bookmarkStart w:id="21" w:name="_Hlt26580838"/>
            <w:r/>
            <w:bookmarkEnd w:id="21"/>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bookmarkStart w:id="22" w:name="_Hlt26955066"/>
      <w:r/>
      <w:bookmarkEnd w:id="22"/>
      <w:r/>
      <w:bookmarkStart w:id="23" w:name="_Hlt26609389"/>
      <w:r/>
      <w:bookmarkEnd w:id="23"/>
      <w:r/>
      <w:bookmarkStart w:id="24" w:name="_格式2__法定代表人授权书"/>
      <w:r/>
      <w:bookmarkEnd w:id="24"/>
      <w:r/>
      <w:bookmarkStart w:id="25" w:name="_Hlt26671374"/>
      <w:r/>
      <w:bookmarkEnd w:id="25"/>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rPr>
          <w:rFonts w:ascii="Times New Roman" w:hAnsi="Times New Roman" w:eastAsia="仿宋_GB2312"/>
          <w:color w:val="000000"/>
          <w:sz w:val="24"/>
          <w:szCs w:val="20"/>
          <w:highlight w:val="none"/>
        </w:rPr>
      </w:pPr>
      <w:r>
        <w:rPr>
          <w:rFonts w:hint="eastAsia" w:ascii="宋体" w:hAnsi="宋体" w:cs="宋体"/>
          <w:bCs/>
          <w:i/>
          <w:color w:val="000000"/>
          <w:sz w:val="36"/>
          <w:szCs w:val="36"/>
          <w:highlight w:val="none"/>
          <w:u w:val="single"/>
        </w:rPr>
        <w:t xml:space="preserve">十九、开标一览表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供应商全称（CA公章）：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p>
    <w:tbl>
      <w:tblPr>
        <w:tblStyle w:val="65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480"/>
        <w:jc w:val="right"/>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年     月     日</w:t>
      </w:r>
      <w:r/>
    </w:p>
    <w:p>
      <w:pPr>
        <w:jc w:val="left"/>
        <w:rPr>
          <w:rFonts w:ascii="宋体" w:hAnsi="宋体"/>
          <w:color w:val="000000"/>
          <w:sz w:val="24"/>
          <w:szCs w:val="24"/>
          <w:highlight w:val="none"/>
        </w:rPr>
      </w:pPr>
      <w:r>
        <w:rPr>
          <w:rFonts w:ascii="宋体" w:hAnsi="宋体"/>
          <w:color w:val="000000"/>
          <w:sz w:val="24"/>
          <w:szCs w:val="24"/>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质疑项目的编号：包号：</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p>
    <w:p>
      <w:pPr>
        <w:spacing w:line="50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spacing w:line="500" w:lineRule="exact"/>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ascii="宋体" w:hAnsi="宋体"/>
          <w:b/>
          <w:color w:val="ff0000"/>
          <w:sz w:val="24"/>
          <w:szCs w:val="24"/>
          <w:highlight w:val="none"/>
        </w:rP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MS Mincho">
    <w:panose1 w:val="02020603050405090304"/>
  </w:font>
  <w:font w:name="Cambria">
    <w:panose1 w:val="02040503050406030204"/>
  </w:font>
  <w:font w:name="金山简黑体">
    <w:panose1 w:val="020B050302020202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 PAGE   \* MERGEFORMAT </w:instrText>
    </w:r>
    <w:r>
      <w:fldChar w:fldCharType="separate"/>
    </w:r>
    <w:r>
      <w:rPr>
        <w:lang w:val="zh-CN"/>
      </w:rPr>
      <w:t xml:space="preserve">47</w:t>
    </w:r>
    <w:r>
      <w:rPr>
        <w:lang w:val="zh-CN"/>
      </w:rP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56"/>
    <w:uiPriority w:val="0"/>
    <w:qFormat/>
    <w:pPr>
      <w:jc w:val="both"/>
      <w:widowControl w:val="off"/>
    </w:pPr>
    <w:rPr>
      <w:rFonts w:hint="default" w:ascii="Calibri" w:hAnsi="Calibri" w:eastAsia="宋体" w:cs="Times New Roman"/>
      <w:sz w:val="21"/>
      <w:szCs w:val="22"/>
      <w:lang w:val="en-US" w:eastAsia="zh-CN" w:bidi="ar-SA"/>
    </w:rPr>
  </w:style>
  <w:style w:type="paragraph" w:styleId="645">
    <w:name w:val="Heading 1"/>
    <w:basedOn w:val="644"/>
    <w:next w:val="644"/>
    <w:link w:val="719"/>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720"/>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721"/>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722"/>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723"/>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724"/>
    <w:uiPriority w:val="9"/>
    <w:unhideWhenUsed/>
    <w:qFormat/>
    <w:pPr>
      <w:keepLines/>
      <w:keepNext/>
      <w:spacing w:before="320" w:after="200"/>
      <w:outlineLvl w:val="5"/>
    </w:pPr>
    <w:rPr>
      <w:rFonts w:ascii="Arial" w:hAnsi="Arial" w:eastAsia="Arial" w:cs="Arial"/>
      <w:b/>
      <w:bCs/>
      <w:sz w:val="22"/>
    </w:rPr>
  </w:style>
  <w:style w:type="paragraph" w:styleId="651">
    <w:name w:val="Heading 7"/>
    <w:basedOn w:val="644"/>
    <w:next w:val="644"/>
    <w:link w:val="725"/>
    <w:uiPriority w:val="9"/>
    <w:unhideWhenUsed/>
    <w:qFormat/>
    <w:pPr>
      <w:keepLines/>
      <w:keepNext/>
      <w:spacing w:before="320" w:after="200"/>
      <w:outlineLvl w:val="6"/>
    </w:pPr>
    <w:rPr>
      <w:rFonts w:ascii="Arial" w:hAnsi="Arial" w:eastAsia="Arial" w:cs="Arial"/>
      <w:b/>
      <w:bCs/>
      <w:i/>
      <w:iCs/>
      <w:sz w:val="22"/>
    </w:rPr>
  </w:style>
  <w:style w:type="paragraph" w:styleId="652">
    <w:name w:val="Heading 8"/>
    <w:basedOn w:val="644"/>
    <w:next w:val="644"/>
    <w:link w:val="726"/>
    <w:uiPriority w:val="9"/>
    <w:unhideWhenUsed/>
    <w:qFormat/>
    <w:pPr>
      <w:keepLines/>
      <w:keepNext/>
      <w:spacing w:before="320" w:after="200"/>
      <w:outlineLvl w:val="7"/>
    </w:pPr>
    <w:rPr>
      <w:rFonts w:ascii="Arial" w:hAnsi="Arial" w:eastAsia="Arial" w:cs="Arial"/>
      <w:i/>
      <w:iCs/>
      <w:sz w:val="22"/>
    </w:rPr>
  </w:style>
  <w:style w:type="paragraph" w:styleId="653">
    <w:name w:val="Heading 9"/>
    <w:basedOn w:val="644"/>
    <w:next w:val="644"/>
    <w:link w:val="727"/>
    <w:uiPriority w:val="9"/>
    <w:unhideWhenUsed/>
    <w:qFormat/>
    <w:pPr>
      <w:keepLines/>
      <w:keepNext/>
      <w:spacing w:before="320" w:after="200"/>
      <w:outlineLvl w:val="8"/>
    </w:pPr>
    <w:rPr>
      <w:rFonts w:ascii="Arial" w:hAnsi="Arial" w:eastAsia="Arial" w:cs="Arial"/>
      <w:i/>
      <w:iCs/>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Plain Text"/>
    <w:basedOn w:val="644"/>
    <w:uiPriority w:val="0"/>
    <w:unhideWhenUsed/>
    <w:qFormat/>
    <w:pPr>
      <w:ind w:firstLine="200"/>
      <w:spacing w:line="360" w:lineRule="auto"/>
    </w:pPr>
    <w:rPr>
      <w:rFonts w:ascii="宋体" w:hAnsi="Courier New"/>
      <w:sz w:val="24"/>
      <w:szCs w:val="21"/>
    </w:rPr>
  </w:style>
  <w:style w:type="paragraph" w:styleId="657">
    <w:name w:val="toc 7"/>
    <w:basedOn w:val="644"/>
    <w:next w:val="644"/>
    <w:uiPriority w:val="39"/>
    <w:unhideWhenUsed/>
    <w:qFormat/>
    <w:pPr>
      <w:ind w:left="1701"/>
      <w:spacing w:after="57"/>
    </w:pPr>
  </w:style>
  <w:style w:type="paragraph" w:styleId="658">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annotation text"/>
    <w:basedOn w:val="644"/>
    <w:uiPriority w:val="99"/>
    <w:semiHidden/>
    <w:unhideWhenUsed/>
    <w:qFormat/>
    <w:pPr>
      <w:jc w:val="left"/>
    </w:pPr>
  </w:style>
  <w:style w:type="paragraph" w:styleId="660">
    <w:name w:val="Body Text"/>
    <w:basedOn w:val="644"/>
    <w:next w:val="644"/>
    <w:uiPriority w:val="0"/>
    <w:qFormat/>
    <w:rPr>
      <w:rFonts w:ascii="金山简黑体" w:hAnsi="Courier New" w:eastAsia="金山简黑体"/>
      <w:b/>
      <w:spacing w:val="-8"/>
      <w:sz w:val="44"/>
      <w:szCs w:val="20"/>
    </w:rPr>
  </w:style>
  <w:style w:type="paragraph" w:styleId="661">
    <w:name w:val="Body Text Indent"/>
    <w:basedOn w:val="644"/>
    <w:uiPriority w:val="0"/>
    <w:qFormat/>
    <w:pPr>
      <w:ind w:left="420"/>
      <w:spacing w:after="120"/>
    </w:pPr>
  </w:style>
  <w:style w:type="paragraph" w:styleId="662">
    <w:name w:val="toc 5"/>
    <w:basedOn w:val="644"/>
    <w:next w:val="644"/>
    <w:uiPriority w:val="39"/>
    <w:unhideWhenUsed/>
    <w:qFormat/>
    <w:pPr>
      <w:ind w:left="1134"/>
      <w:spacing w:after="57"/>
    </w:pPr>
  </w:style>
  <w:style w:type="paragraph" w:styleId="663">
    <w:name w:val="toc 3"/>
    <w:basedOn w:val="644"/>
    <w:next w:val="644"/>
    <w:uiPriority w:val="39"/>
    <w:unhideWhenUsed/>
    <w:qFormat/>
    <w:pPr>
      <w:ind w:left="567"/>
      <w:spacing w:after="57"/>
    </w:pPr>
  </w:style>
  <w:style w:type="paragraph" w:styleId="664">
    <w:name w:val="toc 8"/>
    <w:basedOn w:val="644"/>
    <w:next w:val="644"/>
    <w:uiPriority w:val="39"/>
    <w:unhideWhenUsed/>
    <w:qFormat/>
    <w:pPr>
      <w:ind w:left="1984"/>
      <w:spacing w:after="57"/>
    </w:pPr>
  </w:style>
  <w:style w:type="paragraph" w:styleId="665">
    <w:name w:val="Date"/>
    <w:basedOn w:val="644"/>
    <w:next w:val="644"/>
    <w:uiPriority w:val="0"/>
    <w:qFormat/>
    <w:rPr>
      <w:sz w:val="24"/>
      <w:szCs w:val="20"/>
    </w:rPr>
  </w:style>
  <w:style w:type="paragraph" w:styleId="666">
    <w:name w:val="endnote text"/>
    <w:basedOn w:val="644"/>
    <w:link w:val="865"/>
    <w:uiPriority w:val="99"/>
    <w:semiHidden/>
    <w:unhideWhenUsed/>
    <w:qFormat/>
    <w:rPr>
      <w:sz w:val="20"/>
    </w:rPr>
  </w:style>
  <w:style w:type="paragraph" w:styleId="667">
    <w:name w:val="Footer"/>
    <w:basedOn w:val="644"/>
    <w:link w:val="738"/>
    <w:uiPriority w:val="99"/>
    <w:unhideWhenUsed/>
    <w:qFormat/>
    <w:pPr>
      <w:tabs>
        <w:tab w:val="center" w:pos="7143" w:leader="none"/>
        <w:tab w:val="right" w:pos="14287" w:leader="none"/>
      </w:tabs>
    </w:pPr>
  </w:style>
  <w:style w:type="paragraph" w:styleId="668">
    <w:name w:val="Header"/>
    <w:basedOn w:val="644"/>
    <w:link w:val="736"/>
    <w:uiPriority w:val="99"/>
    <w:unhideWhenUsed/>
    <w:qFormat/>
    <w:pPr>
      <w:tabs>
        <w:tab w:val="center" w:pos="7143" w:leader="none"/>
        <w:tab w:val="right" w:pos="14287" w:leader="none"/>
      </w:tabs>
    </w:pPr>
  </w:style>
  <w:style w:type="paragraph" w:styleId="669">
    <w:name w:val="toc 1"/>
    <w:basedOn w:val="644"/>
    <w:next w:val="644"/>
    <w:uiPriority w:val="39"/>
    <w:unhideWhenUsed/>
    <w:qFormat/>
    <w:pPr>
      <w:spacing w:after="57"/>
    </w:pPr>
  </w:style>
  <w:style w:type="paragraph" w:styleId="670">
    <w:name w:val="toc 4"/>
    <w:basedOn w:val="644"/>
    <w:next w:val="644"/>
    <w:uiPriority w:val="39"/>
    <w:unhideWhenUsed/>
    <w:qFormat/>
    <w:pPr>
      <w:ind w:left="850"/>
      <w:spacing w:after="57"/>
    </w:pPr>
  </w:style>
  <w:style w:type="paragraph" w:styleId="671">
    <w:name w:val="Subtitle"/>
    <w:basedOn w:val="644"/>
    <w:next w:val="644"/>
    <w:link w:val="731"/>
    <w:uiPriority w:val="11"/>
    <w:qFormat/>
    <w:pPr>
      <w:spacing w:before="200" w:after="200"/>
    </w:pPr>
    <w:rPr>
      <w:sz w:val="24"/>
      <w:szCs w:val="24"/>
    </w:rPr>
  </w:style>
  <w:style w:type="paragraph" w:styleId="672">
    <w:name w:val="footnote text"/>
    <w:basedOn w:val="644"/>
    <w:link w:val="864"/>
    <w:uiPriority w:val="99"/>
    <w:semiHidden/>
    <w:unhideWhenUsed/>
    <w:qFormat/>
    <w:pPr>
      <w:spacing w:after="40"/>
    </w:pPr>
    <w:rPr>
      <w:sz w:val="18"/>
    </w:rPr>
  </w:style>
  <w:style w:type="paragraph" w:styleId="673">
    <w:name w:val="toc 6"/>
    <w:basedOn w:val="644"/>
    <w:next w:val="644"/>
    <w:uiPriority w:val="39"/>
    <w:unhideWhenUsed/>
    <w:qFormat/>
    <w:pPr>
      <w:ind w:left="1417"/>
      <w:spacing w:after="57"/>
    </w:pPr>
  </w:style>
  <w:style w:type="paragraph" w:styleId="674">
    <w:name w:val="table of figures"/>
    <w:basedOn w:val="644"/>
    <w:next w:val="644"/>
    <w:uiPriority w:val="99"/>
    <w:unhideWhenUsed/>
    <w:qFormat/>
  </w:style>
  <w:style w:type="paragraph" w:styleId="675">
    <w:name w:val="toc 2"/>
    <w:basedOn w:val="644"/>
    <w:next w:val="644"/>
    <w:uiPriority w:val="39"/>
    <w:unhideWhenUsed/>
    <w:qFormat/>
    <w:pPr>
      <w:ind w:left="283"/>
      <w:spacing w:after="57"/>
    </w:pPr>
  </w:style>
  <w:style w:type="paragraph" w:styleId="676">
    <w:name w:val="toc 9"/>
    <w:basedOn w:val="644"/>
    <w:next w:val="644"/>
    <w:uiPriority w:val="39"/>
    <w:unhideWhenUsed/>
    <w:qFormat/>
    <w:pPr>
      <w:ind w:left="2268"/>
      <w:spacing w:after="57"/>
    </w:pPr>
  </w:style>
  <w:style w:type="paragraph" w:styleId="677">
    <w:name w:val="Title"/>
    <w:basedOn w:val="644"/>
    <w:next w:val="644"/>
    <w:link w:val="730"/>
    <w:uiPriority w:val="10"/>
    <w:qFormat/>
    <w:pPr>
      <w:contextualSpacing/>
      <w:spacing w:before="300" w:after="200"/>
    </w:pPr>
    <w:rPr>
      <w:sz w:val="48"/>
      <w:szCs w:val="48"/>
    </w:rPr>
  </w:style>
  <w:style w:type="table" w:styleId="6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character" w:styleId="682" w:customStyle="1">
    <w:name w:val="Heading 1 Char"/>
    <w:basedOn w:val="654"/>
    <w:uiPriority w:val="9"/>
    <w:qFormat/>
    <w:rPr>
      <w:rFonts w:ascii="Arial" w:hAnsi="Arial" w:eastAsia="Arial" w:cs="Arial"/>
      <w:sz w:val="40"/>
      <w:szCs w:val="40"/>
    </w:rPr>
  </w:style>
  <w:style w:type="character" w:styleId="683" w:customStyle="1">
    <w:name w:val="Heading 2 Char"/>
    <w:basedOn w:val="654"/>
    <w:uiPriority w:val="9"/>
    <w:qFormat/>
    <w:rPr>
      <w:rFonts w:ascii="Arial" w:hAnsi="Arial" w:eastAsia="Arial" w:cs="Arial"/>
      <w:sz w:val="34"/>
    </w:rPr>
  </w:style>
  <w:style w:type="character" w:styleId="684" w:customStyle="1">
    <w:name w:val="Heading 3 Char"/>
    <w:basedOn w:val="654"/>
    <w:uiPriority w:val="9"/>
    <w:qFormat/>
    <w:rPr>
      <w:rFonts w:ascii="Arial" w:hAnsi="Arial" w:eastAsia="Arial" w:cs="Arial"/>
      <w:sz w:val="30"/>
      <w:szCs w:val="30"/>
    </w:rPr>
  </w:style>
  <w:style w:type="character" w:styleId="685" w:customStyle="1">
    <w:name w:val="Heading 4 Char"/>
    <w:basedOn w:val="654"/>
    <w:uiPriority w:val="9"/>
    <w:qFormat/>
    <w:rPr>
      <w:rFonts w:ascii="Arial" w:hAnsi="Arial" w:eastAsia="Arial" w:cs="Arial"/>
      <w:b/>
      <w:bCs/>
      <w:sz w:val="26"/>
      <w:szCs w:val="26"/>
    </w:rPr>
  </w:style>
  <w:style w:type="character" w:styleId="686" w:customStyle="1">
    <w:name w:val="Heading 5 Char"/>
    <w:basedOn w:val="654"/>
    <w:uiPriority w:val="9"/>
    <w:qFormat/>
    <w:rPr>
      <w:rFonts w:ascii="Arial" w:hAnsi="Arial" w:eastAsia="Arial" w:cs="Arial"/>
      <w:b/>
      <w:bCs/>
      <w:sz w:val="24"/>
      <w:szCs w:val="24"/>
    </w:rPr>
  </w:style>
  <w:style w:type="character" w:styleId="687" w:customStyle="1">
    <w:name w:val="Heading 6 Char"/>
    <w:basedOn w:val="654"/>
    <w:uiPriority w:val="9"/>
    <w:qFormat/>
    <w:rPr>
      <w:rFonts w:ascii="Arial" w:hAnsi="Arial" w:eastAsia="Arial" w:cs="Arial"/>
      <w:b/>
      <w:bCs/>
      <w:sz w:val="22"/>
      <w:szCs w:val="22"/>
    </w:rPr>
  </w:style>
  <w:style w:type="character" w:styleId="688" w:customStyle="1">
    <w:name w:val="Heading 7 Char"/>
    <w:basedOn w:val="654"/>
    <w:uiPriority w:val="9"/>
    <w:qFormat/>
    <w:rPr>
      <w:rFonts w:ascii="Arial" w:hAnsi="Arial" w:eastAsia="Arial" w:cs="Arial"/>
      <w:b/>
      <w:bCs/>
      <w:i/>
      <w:iCs/>
      <w:sz w:val="22"/>
      <w:szCs w:val="22"/>
    </w:rPr>
  </w:style>
  <w:style w:type="character" w:styleId="689" w:customStyle="1">
    <w:name w:val="Heading 8 Char"/>
    <w:basedOn w:val="654"/>
    <w:uiPriority w:val="9"/>
    <w:qFormat/>
    <w:rPr>
      <w:rFonts w:ascii="Arial" w:hAnsi="Arial" w:eastAsia="Arial" w:cs="Arial"/>
      <w:i/>
      <w:iCs/>
      <w:sz w:val="22"/>
      <w:szCs w:val="22"/>
    </w:rPr>
  </w:style>
  <w:style w:type="character" w:styleId="690" w:customStyle="1">
    <w:name w:val="Heading 9 Char"/>
    <w:basedOn w:val="654"/>
    <w:uiPriority w:val="9"/>
    <w:qFormat/>
    <w:rPr>
      <w:rFonts w:ascii="Arial" w:hAnsi="Arial" w:eastAsia="Arial" w:cs="Arial"/>
      <w:i/>
      <w:iCs/>
      <w:sz w:val="21"/>
      <w:szCs w:val="21"/>
    </w:rPr>
  </w:style>
  <w:style w:type="character" w:styleId="691" w:customStyle="1">
    <w:name w:val="Title Char"/>
    <w:basedOn w:val="654"/>
    <w:uiPriority w:val="10"/>
    <w:qFormat/>
    <w:rPr>
      <w:sz w:val="48"/>
      <w:szCs w:val="48"/>
    </w:rPr>
  </w:style>
  <w:style w:type="character" w:styleId="692" w:customStyle="1">
    <w:name w:val="Subtitle Char"/>
    <w:basedOn w:val="654"/>
    <w:uiPriority w:val="11"/>
    <w:qFormat/>
    <w:rPr>
      <w:sz w:val="24"/>
      <w:szCs w:val="24"/>
    </w:rPr>
  </w:style>
  <w:style w:type="character" w:styleId="693" w:customStyle="1">
    <w:name w:val="Quote Char"/>
    <w:uiPriority w:val="29"/>
    <w:qFormat/>
    <w:rPr>
      <w:i/>
    </w:rPr>
  </w:style>
  <w:style w:type="character" w:styleId="694" w:customStyle="1">
    <w:name w:val="Intense Quote Char"/>
    <w:uiPriority w:val="30"/>
    <w:qFormat/>
    <w:rPr>
      <w:i/>
    </w:rPr>
  </w:style>
  <w:style w:type="character" w:styleId="695" w:customStyle="1">
    <w:name w:val="Header Char"/>
    <w:basedOn w:val="654"/>
    <w:uiPriority w:val="99"/>
    <w:qFormat/>
  </w:style>
  <w:style w:type="character" w:styleId="696" w:customStyle="1">
    <w:name w:val="Caption Char"/>
    <w:uiPriority w:val="99"/>
    <w:qFormat/>
  </w:style>
  <w:style w:type="table" w:styleId="697" w:customStyle="1">
    <w:name w:val="Plain Table 1"/>
    <w:basedOn w:val="6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3"/>
    <w:basedOn w:val="6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4"/>
    <w:basedOn w:val="6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customStyle="1">
    <w:name w:val="Grid Table 5 Dark"/>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7" w:customStyle="1">
    <w:name w:val="Grid Table 6 Colorful"/>
    <w:basedOn w:val="6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8" w:customStyle="1">
    <w:name w:val="Grid Table 7 Colorful"/>
    <w:basedOn w:val="6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9" w:customStyle="1">
    <w:name w:val="List Table 1 Light"/>
    <w:basedOn w:val="6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customStyle="1">
    <w:name w:val="List Table 2"/>
    <w:basedOn w:val="6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1" w:customStyle="1">
    <w:name w:val="List Table 3"/>
    <w:basedOn w:val="6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2" w:customStyle="1">
    <w:name w:val="List Table 4"/>
    <w:basedOn w:val="6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customStyle="1">
    <w:name w:val="List Table 5 Dark"/>
    <w:basedOn w:val="6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4" w:customStyle="1">
    <w:name w:val="List Table 6 Colorful"/>
    <w:basedOn w:val="6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5" w:customStyle="1">
    <w:name w:val="List Table 7 Colorful"/>
    <w:basedOn w:val="6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6" w:customStyle="1">
    <w:name w:val="Footnote Text Char"/>
    <w:uiPriority w:val="99"/>
    <w:qFormat/>
    <w:rPr>
      <w:sz w:val="18"/>
    </w:rPr>
  </w:style>
  <w:style w:type="character" w:styleId="717" w:customStyle="1">
    <w:name w:val="Endnote Text Char"/>
    <w:uiPriority w:val="99"/>
    <w:qFormat/>
    <w:rPr>
      <w:sz w:val="20"/>
    </w:rPr>
  </w:style>
  <w:style w:type="paragraph" w:styleId="718" w:customStyle="1">
    <w:name w:val="TOC Heading"/>
    <w:uiPriority w:val="39"/>
    <w:unhideWhenUsed/>
    <w:qFormat/>
    <w:rPr>
      <w:rFonts w:hint="default" w:ascii="Times New Roman" w:hAnsi="Times New Roman" w:eastAsia="宋体" w:cs="Times New Roman"/>
    </w:rPr>
  </w:style>
  <w:style w:type="character" w:styleId="719" w:customStyle="1">
    <w:name w:val="标题 1 字符"/>
    <w:link w:val="645"/>
    <w:uiPriority w:val="9"/>
    <w:qFormat/>
    <w:rPr>
      <w:rFonts w:ascii="Arial" w:hAnsi="Arial" w:eastAsia="Arial" w:cs="Arial"/>
      <w:sz w:val="40"/>
      <w:szCs w:val="40"/>
    </w:rPr>
  </w:style>
  <w:style w:type="character" w:styleId="720" w:customStyle="1">
    <w:name w:val="标题 2 字符"/>
    <w:link w:val="646"/>
    <w:uiPriority w:val="9"/>
    <w:qFormat/>
    <w:rPr>
      <w:rFonts w:ascii="Arial" w:hAnsi="Arial" w:eastAsia="Arial" w:cs="Arial"/>
      <w:sz w:val="34"/>
    </w:rPr>
  </w:style>
  <w:style w:type="character" w:styleId="721" w:customStyle="1">
    <w:name w:val="标题 3 字符"/>
    <w:link w:val="647"/>
    <w:uiPriority w:val="9"/>
    <w:qFormat/>
    <w:rPr>
      <w:rFonts w:ascii="Arial" w:hAnsi="Arial" w:eastAsia="Arial" w:cs="Arial"/>
      <w:sz w:val="30"/>
      <w:szCs w:val="30"/>
    </w:rPr>
  </w:style>
  <w:style w:type="character" w:styleId="722" w:customStyle="1">
    <w:name w:val="标题 4 字符"/>
    <w:link w:val="648"/>
    <w:uiPriority w:val="9"/>
    <w:qFormat/>
    <w:rPr>
      <w:rFonts w:ascii="Arial" w:hAnsi="Arial" w:eastAsia="Arial" w:cs="Arial"/>
      <w:b/>
      <w:bCs/>
      <w:sz w:val="26"/>
      <w:szCs w:val="26"/>
    </w:rPr>
  </w:style>
  <w:style w:type="character" w:styleId="723" w:customStyle="1">
    <w:name w:val="标题 5 字符"/>
    <w:link w:val="649"/>
    <w:uiPriority w:val="9"/>
    <w:qFormat/>
    <w:rPr>
      <w:rFonts w:ascii="Arial" w:hAnsi="Arial" w:eastAsia="Arial" w:cs="Arial"/>
      <w:b/>
      <w:bCs/>
      <w:sz w:val="24"/>
      <w:szCs w:val="24"/>
    </w:rPr>
  </w:style>
  <w:style w:type="character" w:styleId="724" w:customStyle="1">
    <w:name w:val="标题 6 字符"/>
    <w:link w:val="650"/>
    <w:uiPriority w:val="9"/>
    <w:qFormat/>
    <w:rPr>
      <w:rFonts w:ascii="Arial" w:hAnsi="Arial" w:eastAsia="Arial" w:cs="Arial"/>
      <w:b/>
      <w:bCs/>
      <w:sz w:val="22"/>
      <w:szCs w:val="22"/>
    </w:rPr>
  </w:style>
  <w:style w:type="character" w:styleId="725" w:customStyle="1">
    <w:name w:val="标题 7 字符"/>
    <w:link w:val="651"/>
    <w:uiPriority w:val="9"/>
    <w:qFormat/>
    <w:rPr>
      <w:rFonts w:ascii="Arial" w:hAnsi="Arial" w:eastAsia="Arial" w:cs="Arial"/>
      <w:b/>
      <w:bCs/>
      <w:i/>
      <w:iCs/>
      <w:sz w:val="22"/>
      <w:szCs w:val="22"/>
    </w:rPr>
  </w:style>
  <w:style w:type="character" w:styleId="726" w:customStyle="1">
    <w:name w:val="标题 8 字符"/>
    <w:link w:val="652"/>
    <w:uiPriority w:val="9"/>
    <w:qFormat/>
    <w:rPr>
      <w:rFonts w:ascii="Arial" w:hAnsi="Arial" w:eastAsia="Arial" w:cs="Arial"/>
      <w:i/>
      <w:iCs/>
      <w:sz w:val="22"/>
      <w:szCs w:val="22"/>
    </w:rPr>
  </w:style>
  <w:style w:type="character" w:styleId="727" w:customStyle="1">
    <w:name w:val="标题 9 字符"/>
    <w:link w:val="653"/>
    <w:uiPriority w:val="9"/>
    <w:qFormat/>
    <w:rPr>
      <w:rFonts w:ascii="Arial" w:hAnsi="Arial" w:eastAsia="Arial" w:cs="Arial"/>
      <w:i/>
      <w:iCs/>
      <w:sz w:val="21"/>
      <w:szCs w:val="21"/>
    </w:rPr>
  </w:style>
  <w:style w:type="paragraph" w:styleId="728">
    <w:name w:val="List Paragraph"/>
    <w:basedOn w:val="644"/>
    <w:uiPriority w:val="34"/>
    <w:qFormat/>
    <w:pPr>
      <w:contextualSpacing/>
      <w:ind w:left="720"/>
    </w:pPr>
  </w:style>
  <w:style w:type="paragraph" w:styleId="729">
    <w:name w:val="No Spacing"/>
    <w:uiPriority w:val="1"/>
    <w:qFormat/>
    <w:rPr>
      <w:rFonts w:hint="default" w:ascii="Times New Roman" w:hAnsi="Times New Roman" w:eastAsia="宋体" w:cs="Times New Roman"/>
      <w:lang w:val="en-US" w:eastAsia="zh-CN" w:bidi="ar-SA"/>
    </w:rPr>
  </w:style>
  <w:style w:type="character" w:styleId="730" w:customStyle="1">
    <w:name w:val="标题 字符"/>
    <w:link w:val="677"/>
    <w:uiPriority w:val="10"/>
    <w:qFormat/>
    <w:rPr>
      <w:sz w:val="48"/>
      <w:szCs w:val="48"/>
    </w:rPr>
  </w:style>
  <w:style w:type="character" w:styleId="731" w:customStyle="1">
    <w:name w:val="副标题 字符"/>
    <w:link w:val="671"/>
    <w:uiPriority w:val="11"/>
    <w:qFormat/>
    <w:rPr>
      <w:sz w:val="24"/>
      <w:szCs w:val="24"/>
    </w:rPr>
  </w:style>
  <w:style w:type="paragraph" w:styleId="732">
    <w:name w:val="Quote"/>
    <w:basedOn w:val="644"/>
    <w:next w:val="644"/>
    <w:link w:val="733"/>
    <w:uiPriority w:val="29"/>
    <w:qFormat/>
    <w:pPr>
      <w:ind w:left="720" w:right="720"/>
    </w:pPr>
    <w:rPr>
      <w:i/>
    </w:rPr>
  </w:style>
  <w:style w:type="character" w:styleId="733" w:customStyle="1">
    <w:name w:val="引用 字符"/>
    <w:link w:val="732"/>
    <w:uiPriority w:val="29"/>
    <w:qFormat/>
    <w:rPr>
      <w:i/>
    </w:rPr>
  </w:style>
  <w:style w:type="paragraph" w:styleId="734">
    <w:name w:val="Intense Quote"/>
    <w:basedOn w:val="644"/>
    <w:next w:val="644"/>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字符"/>
    <w:link w:val="734"/>
    <w:uiPriority w:val="30"/>
    <w:qFormat/>
    <w:rPr>
      <w:i/>
    </w:rPr>
  </w:style>
  <w:style w:type="character" w:styleId="736" w:customStyle="1">
    <w:name w:val="页眉 字符"/>
    <w:link w:val="668"/>
    <w:uiPriority w:val="99"/>
    <w:qFormat/>
  </w:style>
  <w:style w:type="character" w:styleId="737" w:customStyle="1">
    <w:name w:val="Footer Char"/>
    <w:uiPriority w:val="99"/>
    <w:qFormat/>
  </w:style>
  <w:style w:type="character" w:styleId="738" w:customStyle="1">
    <w:name w:val="页脚 字符"/>
    <w:link w:val="667"/>
    <w:uiPriority w:val="99"/>
    <w:qFormat/>
  </w:style>
  <w:style w:type="table" w:styleId="7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脚注文本 字符"/>
    <w:link w:val="672"/>
    <w:uiPriority w:val="99"/>
    <w:qFormat/>
    <w:rPr>
      <w:sz w:val="18"/>
    </w:rPr>
  </w:style>
  <w:style w:type="character" w:styleId="865" w:customStyle="1">
    <w:name w:val="尾注文本 字符"/>
    <w:link w:val="666"/>
    <w:uiPriority w:val="99"/>
    <w:qFormat/>
    <w:rPr>
      <w:sz w:val="20"/>
    </w:r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paragraph" w:styleId="867" w:customStyle="1">
    <w:name w:val="标题 11"/>
    <w:basedOn w:val="644"/>
    <w:next w:val="644"/>
    <w:link w:val="873"/>
    <w:uiPriority w:val="0"/>
    <w:qFormat/>
    <w:pPr>
      <w:keepLines/>
      <w:keepNext/>
      <w:spacing w:before="340" w:after="330" w:line="578" w:lineRule="auto"/>
      <w:outlineLvl w:val="0"/>
    </w:pPr>
    <w:rPr>
      <w:rFonts w:ascii="Times New Roman" w:hAnsi="Times New Roman"/>
      <w:b/>
      <w:bCs/>
      <w:sz w:val="44"/>
      <w:szCs w:val="44"/>
    </w:rPr>
  </w:style>
  <w:style w:type="paragraph" w:styleId="868" w:customStyle="1">
    <w:name w:val="标题 21"/>
    <w:basedOn w:val="644"/>
    <w:next w:val="644"/>
    <w:link w:val="874"/>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
    <w:basedOn w:val="644"/>
    <w:next w:val="644"/>
    <w:link w:val="875"/>
    <w:uiPriority w:val="0"/>
    <w:qFormat/>
    <w:pPr>
      <w:keepLines/>
      <w:keepNext/>
      <w:spacing w:before="260" w:after="260" w:line="416" w:lineRule="auto"/>
      <w:outlineLvl w:val="2"/>
    </w:pPr>
    <w:rPr>
      <w:rFonts w:ascii="Times New Roman" w:hAnsi="Times New Roman"/>
      <w:b/>
      <w:bCs/>
      <w:sz w:val="32"/>
      <w:szCs w:val="32"/>
    </w:rPr>
  </w:style>
  <w:style w:type="character" w:styleId="870" w:customStyle="1">
    <w:name w:val="默认段落字体1"/>
    <w:uiPriority w:val="0"/>
    <w:qFormat/>
    <w:rPr>
      <w:rFonts w:ascii="Times New Roman" w:hAnsi="Times New Roman" w:eastAsia="宋体" w:cs="Times New Roman"/>
    </w:rPr>
  </w:style>
  <w:style w:type="table" w:styleId="871" w:customStyle="1">
    <w:name w:val="普通表格1"/>
    <w:uiPriority w:val="0"/>
    <w:qFormat/>
    <w:tblPr>
      <w:tblCellMar>
        <w:left w:w="0" w:type="dxa"/>
        <w:top w:w="0" w:type="dxa"/>
        <w:right w:w="0" w:type="dxa"/>
        <w:bottom w:w="0" w:type="dxa"/>
      </w:tblCellMar>
    </w:tblPr>
  </w:style>
  <w:style w:type="paragraph" w:styleId="872" w:customStyle="1">
    <w:name w:val="Default"/>
    <w:next w:val="644"/>
    <w:uiPriority w:val="0"/>
    <w:qFormat/>
    <w:pPr>
      <w:widowControl w:val="off"/>
    </w:pPr>
    <w:rPr>
      <w:rFonts w:hint="default" w:ascii="MS Mincho" w:hAnsi="Calibri" w:eastAsia="宋体" w:cs="Times New Roman"/>
      <w:color w:val="000000"/>
      <w:sz w:val="21"/>
      <w:szCs w:val="24"/>
      <w:lang w:val="en-US" w:eastAsia="zh-CN" w:bidi="ar-SA"/>
    </w:rPr>
  </w:style>
  <w:style w:type="character" w:styleId="873" w:customStyle="1">
    <w:name w:val="标题 1 Char"/>
    <w:basedOn w:val="870"/>
    <w:link w:val="867"/>
    <w:uiPriority w:val="0"/>
    <w:qFormat/>
    <w:rPr>
      <w:rFonts w:ascii="Times New Roman" w:hAnsi="Times New Roman" w:eastAsia="宋体" w:cs="Times New Roman"/>
      <w:b/>
      <w:bCs/>
      <w:sz w:val="44"/>
      <w:szCs w:val="44"/>
    </w:rPr>
  </w:style>
  <w:style w:type="character" w:styleId="874" w:customStyle="1">
    <w:name w:val="标题 2 Char"/>
    <w:basedOn w:val="870"/>
    <w:link w:val="868"/>
    <w:uiPriority w:val="0"/>
    <w:qFormat/>
    <w:rPr>
      <w:rFonts w:ascii="Cambria" w:hAnsi="Cambria" w:eastAsia="宋体" w:cs="Times New Roman"/>
      <w:b/>
      <w:bCs/>
      <w:sz w:val="32"/>
      <w:szCs w:val="32"/>
    </w:rPr>
  </w:style>
  <w:style w:type="character" w:styleId="875" w:customStyle="1">
    <w:name w:val="标题 3 Char"/>
    <w:basedOn w:val="870"/>
    <w:link w:val="869"/>
    <w:uiPriority w:val="0"/>
    <w:qFormat/>
    <w:rPr>
      <w:rFonts w:ascii="Times New Roman" w:hAnsi="Times New Roman" w:eastAsia="宋体" w:cs="Times New Roman"/>
      <w:b/>
      <w:bCs/>
      <w:sz w:val="32"/>
      <w:szCs w:val="32"/>
    </w:rPr>
  </w:style>
  <w:style w:type="paragraph" w:styleId="876" w:customStyle="1">
    <w:name w:val="文档结构图1"/>
    <w:basedOn w:val="644"/>
    <w:link w:val="877"/>
    <w:uiPriority w:val="0"/>
    <w:qFormat/>
    <w:rPr>
      <w:rFonts w:ascii="宋体" w:hAnsi="Times New Roman"/>
      <w:sz w:val="18"/>
      <w:szCs w:val="18"/>
    </w:rPr>
  </w:style>
  <w:style w:type="character" w:styleId="877" w:customStyle="1">
    <w:name w:val="文档结构图 Char"/>
    <w:basedOn w:val="870"/>
    <w:link w:val="876"/>
    <w:uiPriority w:val="0"/>
    <w:qFormat/>
    <w:rPr>
      <w:rFonts w:ascii="宋体" w:hAnsi="Times New Roman" w:eastAsia="宋体" w:cs="Times New Roman"/>
      <w:sz w:val="18"/>
      <w:szCs w:val="18"/>
    </w:rPr>
  </w:style>
  <w:style w:type="paragraph" w:styleId="878" w:customStyle="1">
    <w:name w:val="批注文字1"/>
    <w:basedOn w:val="644"/>
    <w:link w:val="879"/>
    <w:uiPriority w:val="0"/>
    <w:qFormat/>
    <w:pPr>
      <w:ind w:firstLine="922"/>
      <w:jc w:val="left"/>
      <w:spacing w:line="360" w:lineRule="auto"/>
    </w:pPr>
    <w:rPr>
      <w:rFonts w:ascii="Times New Roman" w:hAnsi="Times New Roman"/>
      <w:szCs w:val="24"/>
    </w:rPr>
  </w:style>
  <w:style w:type="character" w:styleId="879" w:customStyle="1">
    <w:name w:val="批注文字 Char"/>
    <w:basedOn w:val="870"/>
    <w:link w:val="878"/>
    <w:uiPriority w:val="0"/>
    <w:qFormat/>
    <w:rPr>
      <w:rFonts w:ascii="Times New Roman" w:hAnsi="Times New Roman" w:eastAsia="宋体" w:cs="Times New Roman"/>
      <w:szCs w:val="24"/>
    </w:rPr>
  </w:style>
  <w:style w:type="paragraph" w:styleId="880" w:customStyle="1">
    <w:name w:val="正文文本1"/>
    <w:basedOn w:val="644"/>
    <w:next w:val="644"/>
    <w:link w:val="881"/>
    <w:uiPriority w:val="0"/>
    <w:qFormat/>
    <w:pPr>
      <w:spacing w:after="120"/>
    </w:pPr>
  </w:style>
  <w:style w:type="character" w:styleId="881" w:customStyle="1">
    <w:name w:val="正文文本 Char"/>
    <w:basedOn w:val="870"/>
    <w:link w:val="880"/>
    <w:uiPriority w:val="0"/>
    <w:qFormat/>
    <w:rPr>
      <w:rFonts w:ascii="Calibri" w:hAnsi="Calibri" w:eastAsia="宋体" w:cs="Times New Roman"/>
    </w:rPr>
  </w:style>
  <w:style w:type="paragraph" w:styleId="882" w:customStyle="1">
    <w:name w:val="正文文本缩进1"/>
    <w:basedOn w:val="644"/>
    <w:link w:val="883"/>
    <w:uiPriority w:val="0"/>
    <w:qFormat/>
    <w:pPr>
      <w:ind w:left="420"/>
      <w:spacing w:after="120"/>
    </w:pPr>
    <w:rPr>
      <w:rFonts w:ascii="Times New Roman" w:hAnsi="Times New Roman"/>
      <w:szCs w:val="24"/>
    </w:rPr>
  </w:style>
  <w:style w:type="character" w:styleId="883" w:customStyle="1">
    <w:name w:val="正文文本缩进 Char"/>
    <w:basedOn w:val="870"/>
    <w:link w:val="882"/>
    <w:uiPriority w:val="0"/>
    <w:qFormat/>
    <w:rPr>
      <w:rFonts w:ascii="Times New Roman" w:hAnsi="Times New Roman" w:eastAsia="宋体" w:cs="Times New Roman"/>
      <w:szCs w:val="24"/>
    </w:rPr>
  </w:style>
  <w:style w:type="paragraph" w:styleId="884" w:customStyle="1">
    <w:name w:val="纯文本1"/>
    <w:basedOn w:val="644"/>
    <w:link w:val="885"/>
    <w:uiPriority w:val="0"/>
    <w:qFormat/>
    <w:rPr>
      <w:rFonts w:ascii="宋体" w:hAnsi="Courier New" w:cs="Courier New"/>
      <w:szCs w:val="21"/>
    </w:rPr>
  </w:style>
  <w:style w:type="character" w:styleId="885" w:customStyle="1">
    <w:name w:val="纯文本 Char"/>
    <w:basedOn w:val="870"/>
    <w:link w:val="884"/>
    <w:uiPriority w:val="0"/>
    <w:qFormat/>
    <w:rPr>
      <w:rFonts w:ascii="宋体" w:hAnsi="Courier New" w:eastAsia="宋体" w:cs="Courier New"/>
      <w:szCs w:val="21"/>
    </w:rPr>
  </w:style>
  <w:style w:type="paragraph" w:styleId="886" w:customStyle="1">
    <w:name w:val="日期1"/>
    <w:basedOn w:val="644"/>
    <w:next w:val="644"/>
    <w:link w:val="887"/>
    <w:uiPriority w:val="0"/>
    <w:qFormat/>
    <w:pPr>
      <w:ind w:left="100"/>
    </w:pPr>
    <w:rPr>
      <w:rFonts w:ascii="Times New Roman" w:hAnsi="Times New Roman"/>
    </w:rPr>
  </w:style>
  <w:style w:type="character" w:styleId="887" w:customStyle="1">
    <w:name w:val="日期 Char"/>
    <w:basedOn w:val="870"/>
    <w:link w:val="886"/>
    <w:uiPriority w:val="0"/>
    <w:qFormat/>
    <w:rPr>
      <w:rFonts w:ascii="Times New Roman" w:hAnsi="Times New Roman" w:eastAsia="宋体" w:cs="Times New Roman"/>
    </w:rPr>
  </w:style>
  <w:style w:type="paragraph" w:styleId="888" w:customStyle="1">
    <w:name w:val="批注框文本1"/>
    <w:basedOn w:val="644"/>
    <w:link w:val="889"/>
    <w:uiPriority w:val="0"/>
    <w:qFormat/>
    <w:rPr>
      <w:rFonts w:ascii="Times New Roman" w:hAnsi="Times New Roman"/>
      <w:sz w:val="18"/>
      <w:szCs w:val="18"/>
    </w:rPr>
  </w:style>
  <w:style w:type="character" w:styleId="889" w:customStyle="1">
    <w:name w:val="批注框文本 Char"/>
    <w:basedOn w:val="870"/>
    <w:link w:val="888"/>
    <w:uiPriority w:val="0"/>
    <w:qFormat/>
    <w:rPr>
      <w:rFonts w:ascii="Times New Roman" w:hAnsi="Times New Roman" w:eastAsia="宋体" w:cs="Times New Roman"/>
      <w:sz w:val="18"/>
      <w:szCs w:val="18"/>
    </w:rPr>
  </w:style>
  <w:style w:type="paragraph" w:styleId="890" w:customStyle="1">
    <w:name w:val="页脚1"/>
    <w:basedOn w:val="644"/>
    <w:link w:val="891"/>
    <w:uiPriority w:val="0"/>
    <w:qFormat/>
    <w:pPr>
      <w:jc w:val="left"/>
      <w:tabs>
        <w:tab w:val="center" w:pos="4153" w:leader="none"/>
        <w:tab w:val="right" w:pos="8306" w:leader="none"/>
      </w:tabs>
    </w:pPr>
    <w:rPr>
      <w:rFonts w:ascii="Times New Roman" w:hAnsi="Times New Roman"/>
      <w:sz w:val="18"/>
      <w:szCs w:val="18"/>
    </w:rPr>
  </w:style>
  <w:style w:type="character" w:styleId="891" w:customStyle="1">
    <w:name w:val="页脚 Char"/>
    <w:basedOn w:val="870"/>
    <w:link w:val="890"/>
    <w:uiPriority w:val="0"/>
    <w:qFormat/>
    <w:rPr>
      <w:rFonts w:ascii="Times New Roman" w:hAnsi="Times New Roman" w:eastAsia="宋体" w:cs="Times New Roman"/>
      <w:sz w:val="18"/>
      <w:szCs w:val="18"/>
    </w:rPr>
  </w:style>
  <w:style w:type="paragraph" w:styleId="892" w:customStyle="1">
    <w:name w:val="页眉1"/>
    <w:basedOn w:val="644"/>
    <w:link w:val="89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3" w:customStyle="1">
    <w:name w:val="页眉 Char"/>
    <w:basedOn w:val="870"/>
    <w:link w:val="892"/>
    <w:uiPriority w:val="0"/>
    <w:qFormat/>
    <w:rPr>
      <w:rFonts w:ascii="Times New Roman" w:hAnsi="Times New Roman" w:eastAsia="宋体" w:cs="Times New Roman"/>
      <w:sz w:val="18"/>
      <w:szCs w:val="18"/>
    </w:rPr>
  </w:style>
  <w:style w:type="paragraph" w:styleId="894" w:customStyle="1">
    <w:name w:val="目录 11"/>
    <w:basedOn w:val="644"/>
    <w:next w:val="644"/>
    <w:uiPriority w:val="0"/>
    <w:qFormat/>
    <w:pPr>
      <w:jc w:val="center"/>
      <w:tabs>
        <w:tab w:val="right" w:pos="8296" w:leader="dot"/>
      </w:tabs>
    </w:pPr>
    <w:rPr>
      <w:rFonts w:ascii="黑体" w:hAnsi="黑体" w:eastAsia="黑体"/>
      <w:sz w:val="44"/>
      <w:szCs w:val="44"/>
    </w:rPr>
  </w:style>
  <w:style w:type="paragraph" w:styleId="895" w:customStyle="1">
    <w:name w:val="普通(网站)1"/>
    <w:basedOn w:val="644"/>
    <w:uiPriority w:val="0"/>
    <w:qFormat/>
    <w:rPr>
      <w:rFonts w:ascii="Times New Roman" w:hAnsi="Times New Roman"/>
      <w:sz w:val="24"/>
    </w:rPr>
  </w:style>
  <w:style w:type="table" w:styleId="896" w:customStyle="1">
    <w:name w:val="网格型1"/>
    <w:basedOn w:val="871"/>
    <w:uiPriority w:val="0"/>
    <w:qFormat/>
    <w:tblPr/>
  </w:style>
  <w:style w:type="character" w:styleId="897" w:customStyle="1">
    <w:name w:val="超链接1"/>
    <w:uiPriority w:val="0"/>
    <w:qFormat/>
    <w:rPr>
      <w:rFonts w:ascii="Times New Roman" w:hAnsi="Times New Roman" w:eastAsia="宋体" w:cs="Times New Roman"/>
      <w:color w:val="0000ff"/>
      <w:u w:val="none"/>
    </w:rPr>
  </w:style>
  <w:style w:type="character" w:styleId="898" w:customStyle="1">
    <w:name w:val="批注引用1"/>
    <w:uiPriority w:val="0"/>
    <w:qFormat/>
    <w:rPr>
      <w:rFonts w:ascii="Times New Roman" w:hAnsi="Times New Roman" w:eastAsia="宋体" w:cs="Times New Roman"/>
      <w:sz w:val="21"/>
      <w:szCs w:val="21"/>
    </w:rPr>
  </w:style>
  <w:style w:type="paragraph" w:styleId="8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0" w:customStyle="1">
    <w:name w:val="列出段落1"/>
    <w:basedOn w:val="644"/>
    <w:uiPriority w:val="0"/>
    <w:qFormat/>
    <w:pPr>
      <w:ind w:firstLine="420"/>
    </w:pPr>
    <w:rPr>
      <w:rFonts w:ascii="Times New Roman" w:hAnsi="Times New Roman"/>
      <w:szCs w:val="21"/>
    </w:rPr>
  </w:style>
  <w:style w:type="paragraph" w:styleId="901" w:customStyle="1">
    <w:name w:val="无间隔1"/>
    <w:basedOn w:val="644"/>
    <w:uiPriority w:val="0"/>
    <w:qFormat/>
    <w:rPr>
      <w:rFonts w:ascii="Times New Roman" w:hAnsi="Times New Roman"/>
    </w:rPr>
  </w:style>
  <w:style w:type="paragraph" w:styleId="902" w:customStyle="1">
    <w:name w:val="正文文本11"/>
    <w:basedOn w:val="644"/>
    <w:next w:val="644"/>
    <w:uiPriority w:val="0"/>
    <w:qFormat/>
    <w:rPr>
      <w:rFonts w:ascii="楷体_GB2312" w:hAnsi="Arial" w:eastAsia="楷体_GB2312"/>
      <w:sz w:val="28"/>
      <w:szCs w:val="28"/>
      <w:lang w:eastAsia="en-US"/>
    </w:rPr>
  </w:style>
  <w:style w:type="paragraph" w:styleId="903" w:customStyle="1">
    <w:name w:val="正文首行缩进11"/>
    <w:basedOn w:val="902"/>
    <w:uiPriority w:val="0"/>
    <w:qFormat/>
    <w:pPr>
      <w:ind w:firstLine="200"/>
      <w:spacing w:line="360" w:lineRule="auto"/>
    </w:pPr>
    <w:rPr>
      <w:rFonts w:ascii="仿宋_GB2312" w:hAnsi="Times New Roman" w:eastAsia="仿宋_GB2312"/>
      <w:sz w:val="30"/>
      <w:szCs w:val="30"/>
    </w:rPr>
  </w:style>
  <w:style w:type="paragraph" w:styleId="904" w:customStyle="1">
    <w:name w:val="正文1"/>
    <w:basedOn w:val="644"/>
    <w:uiPriority w:val="0"/>
    <w:qFormat/>
    <w:pPr>
      <w:ind w:left="357" w:firstLine="420"/>
      <w:jc w:val="left"/>
      <w:spacing w:line="360" w:lineRule="auto"/>
      <w:widowControl/>
    </w:pPr>
    <w:rPr>
      <w:rFonts w:cs="Arial"/>
      <w:szCs w:val="20"/>
    </w:rPr>
  </w:style>
  <w:style w:type="numbering" w:styleId="10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8</cp:revision>
  <dcterms:created xsi:type="dcterms:W3CDTF">2025-09-09T08:26:00Z</dcterms:created>
  <dcterms:modified xsi:type="dcterms:W3CDTF">2025-12-09T07:22:42Z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2052-12.1.0.24034</vt:lpwstr>
  </property>
  <property fmtid="{D5CDD505-2E9C-101B-9397-08002B2CF9AE}" pid="4" name="ICV">
    <vt:lpwstr>331A2F174441460FA8E6628099A10095_13</vt:lpwstr>
  </property>
</Properties>
</file>